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10"/>
        <w:tblpPr w:leftFromText="180" w:rightFromText="180" w:vertAnchor="text" w:horzAnchor="page" w:tblpX="1667" w:tblpY="15"/>
        <w:tblOverlap w:val="never"/>
        <w:tblW w:w="143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2617"/>
        <w:gridCol w:w="7834"/>
        <w:gridCol w:w="705"/>
        <w:gridCol w:w="145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5" w:type="dxa"/>
            <w:vAlign w:val="center"/>
          </w:tcPr>
          <w:p>
            <w:pPr>
              <w:jc w:val="center"/>
              <w:rPr>
                <w:szCs w:val="24"/>
              </w:rPr>
            </w:pPr>
            <w:bookmarkStart w:id="0" w:name="_Toc304388443"/>
            <w:r>
              <w:rPr>
                <w:rFonts w:hint="eastAsia"/>
                <w:szCs w:val="24"/>
              </w:rPr>
              <w:t>序号</w:t>
            </w:r>
          </w:p>
        </w:tc>
        <w:tc>
          <w:tcPr>
            <w:tcW w:w="2617" w:type="dxa"/>
            <w:vAlign w:val="center"/>
          </w:tcPr>
          <w:p>
            <w:pPr>
              <w:jc w:val="center"/>
              <w:rPr>
                <w:szCs w:val="24"/>
              </w:rPr>
            </w:pPr>
            <w:r>
              <w:rPr>
                <w:rFonts w:hint="eastAsia"/>
                <w:szCs w:val="24"/>
              </w:rPr>
              <w:t>采购项目名称</w:t>
            </w:r>
          </w:p>
        </w:tc>
        <w:tc>
          <w:tcPr>
            <w:tcW w:w="7834" w:type="dxa"/>
            <w:vAlign w:val="center"/>
          </w:tcPr>
          <w:p>
            <w:pPr>
              <w:jc w:val="center"/>
              <w:rPr>
                <w:rFonts w:hint="eastAsia" w:eastAsia="宋体"/>
                <w:szCs w:val="24"/>
                <w:lang w:eastAsia="zh-CN"/>
              </w:rPr>
            </w:pPr>
            <w:r>
              <w:rPr>
                <w:rFonts w:hint="eastAsia" w:ascii="Calibri" w:hAnsi="Calibri" w:eastAsia="宋体" w:cs="宋体"/>
                <w:kern w:val="2"/>
                <w:sz w:val="21"/>
                <w:szCs w:val="21"/>
                <w:lang w:val="en-US" w:eastAsia="zh-CN" w:bidi="ar"/>
              </w:rPr>
              <w:t>主要内容</w:t>
            </w:r>
          </w:p>
        </w:tc>
        <w:tc>
          <w:tcPr>
            <w:tcW w:w="705" w:type="dxa"/>
            <w:vAlign w:val="center"/>
          </w:tcPr>
          <w:p>
            <w:pPr>
              <w:jc w:val="center"/>
              <w:rPr>
                <w:szCs w:val="24"/>
              </w:rPr>
            </w:pPr>
            <w:r>
              <w:rPr>
                <w:rFonts w:hint="eastAsia"/>
                <w:szCs w:val="24"/>
              </w:rPr>
              <w:t>数量</w:t>
            </w:r>
          </w:p>
        </w:tc>
        <w:tc>
          <w:tcPr>
            <w:tcW w:w="1455" w:type="dxa"/>
            <w:vAlign w:val="center"/>
          </w:tcPr>
          <w:p>
            <w:pPr>
              <w:jc w:val="center"/>
              <w:rPr>
                <w:szCs w:val="24"/>
              </w:rPr>
            </w:pPr>
            <w:r>
              <w:rPr>
                <w:rFonts w:hint="eastAsia"/>
                <w:szCs w:val="24"/>
                <w:lang w:eastAsia="zh-CN"/>
              </w:rPr>
              <w:t>采购控制</w:t>
            </w:r>
            <w:r>
              <w:rPr>
                <w:rFonts w:hint="eastAsia"/>
                <w:szCs w:val="24"/>
              </w:rPr>
              <w:t>单价</w:t>
            </w:r>
          </w:p>
          <w:p>
            <w:pPr>
              <w:jc w:val="center"/>
              <w:rPr>
                <w:szCs w:val="24"/>
              </w:rPr>
            </w:pPr>
            <w:r>
              <w:rPr>
                <w:rFonts w:hint="eastAsia"/>
                <w:szCs w:val="24"/>
              </w:rPr>
              <w:t>（元</w:t>
            </w:r>
            <w:r>
              <w:rPr>
                <w:szCs w:val="24"/>
              </w:rPr>
              <w:t>）</w:t>
            </w:r>
          </w:p>
        </w:tc>
        <w:tc>
          <w:tcPr>
            <w:tcW w:w="1170" w:type="dxa"/>
            <w:vAlign w:val="center"/>
          </w:tcPr>
          <w:p>
            <w:pPr>
              <w:jc w:val="center"/>
              <w:rPr>
                <w:szCs w:val="24"/>
              </w:rPr>
            </w:pPr>
            <w:r>
              <w:rPr>
                <w:rFonts w:hint="eastAsia"/>
                <w:szCs w:val="24"/>
                <w:lang w:eastAsia="zh-CN"/>
              </w:rPr>
              <w:t>采购控制总价</w:t>
            </w: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9" w:hRule="atLeast"/>
        </w:trPr>
        <w:tc>
          <w:tcPr>
            <w:tcW w:w="595" w:type="dxa"/>
            <w:vAlign w:val="center"/>
          </w:tcPr>
          <w:p>
            <w:pPr>
              <w:jc w:val="center"/>
              <w:rPr>
                <w:szCs w:val="24"/>
              </w:rPr>
            </w:pPr>
            <w:bookmarkStart w:id="1" w:name="OLE_LINK1" w:colFirst="7" w:colLast="7"/>
            <w:r>
              <w:rPr>
                <w:rFonts w:hint="eastAsia"/>
                <w:szCs w:val="24"/>
              </w:rPr>
              <w:t>1</w:t>
            </w:r>
          </w:p>
        </w:tc>
        <w:tc>
          <w:tcPr>
            <w:tcW w:w="2617" w:type="dxa"/>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人员特写摄像机</w:t>
            </w:r>
          </w:p>
        </w:tc>
        <w:tc>
          <w:tcPr>
            <w:tcW w:w="7834" w:type="dxa"/>
            <w:vAlign w:val="center"/>
          </w:tcPr>
          <w:p>
            <w:pPr>
              <w:spacing w:line="240" w:lineRule="auto"/>
              <w:jc w:val="left"/>
              <w:rPr>
                <w:szCs w:val="24"/>
              </w:rPr>
            </w:pPr>
            <w:r>
              <w:rPr>
                <w:rFonts w:hint="eastAsia" w:ascii="宋体" w:hAnsi="宋体" w:eastAsia="宋体" w:cs="宋体"/>
                <w:i w:val="0"/>
                <w:color w:val="000000"/>
                <w:kern w:val="0"/>
                <w:sz w:val="20"/>
                <w:szCs w:val="20"/>
                <w:u w:val="none"/>
                <w:lang w:val="en-US" w:eastAsia="zh-CN" w:bidi="ar"/>
              </w:rPr>
              <w:t>传感器：1/2.7英寸CMOS；电动变焦2.7-13.5mm；主码流(2560×1440@25fps)、辅码流(704×576@25fps)、第三码流(704×576@3fps)；照度：0.002Lux(彩色模式)；0.0002Lux(黑白模式)；支持H.265、H.264编码；支持120dB宽动态、3D降噪、强光抑制、背光补偿、三码流、走廊模式等功能；支持区域入侵、绊线入侵、物品遗留、物品搬移、场景变更、徘徊检测、人员聚集、快速移动、非法停车、虚焦侦测、人脸检测等智能分析功能；最大红外距离60米；接口：1个10/100M以太网口、内置MIC；工作温度： -40℃~+60℃；电源：DC12V/POE；防护等级：IP67、IK10；</w:t>
            </w:r>
          </w:p>
        </w:tc>
        <w:tc>
          <w:tcPr>
            <w:tcW w:w="705" w:type="dxa"/>
            <w:vAlign w:val="center"/>
          </w:tcPr>
          <w:p>
            <w:pPr>
              <w:spacing w:line="200" w:lineRule="exact"/>
              <w:jc w:val="center"/>
              <w:rPr>
                <w:rFonts w:hint="eastAsia" w:eastAsia="宋体"/>
                <w:szCs w:val="24"/>
                <w:lang w:val="en-US" w:eastAsia="zh-CN"/>
              </w:rPr>
            </w:pPr>
            <w:r>
              <w:rPr>
                <w:rFonts w:hint="eastAsia"/>
                <w:szCs w:val="24"/>
                <w:lang w:val="en-US" w:eastAsia="zh-CN"/>
              </w:rPr>
              <w:t>2</w:t>
            </w:r>
          </w:p>
        </w:tc>
        <w:tc>
          <w:tcPr>
            <w:tcW w:w="1455" w:type="dxa"/>
            <w:vAlign w:val="center"/>
          </w:tcPr>
          <w:p>
            <w:pPr>
              <w:spacing w:line="200" w:lineRule="exact"/>
              <w:jc w:val="center"/>
              <w:rPr>
                <w:rFonts w:hint="eastAsia" w:eastAsia="宋体"/>
                <w:szCs w:val="24"/>
                <w:lang w:val="en-US" w:eastAsia="zh-CN"/>
              </w:rPr>
            </w:pPr>
            <w:r>
              <w:rPr>
                <w:rFonts w:hint="eastAsia"/>
                <w:szCs w:val="24"/>
                <w:lang w:val="en-US" w:eastAsia="zh-CN"/>
              </w:rPr>
              <w:t>1150</w:t>
            </w:r>
          </w:p>
        </w:tc>
        <w:tc>
          <w:tcPr>
            <w:tcW w:w="1170" w:type="dxa"/>
            <w:vAlign w:val="center"/>
          </w:tcPr>
          <w:p>
            <w:pPr>
              <w:spacing w:line="200" w:lineRule="exact"/>
              <w:jc w:val="center"/>
              <w:rPr>
                <w:rFonts w:hint="eastAsia" w:eastAsia="宋体"/>
                <w:szCs w:val="24"/>
                <w:lang w:val="en-US" w:eastAsia="zh-CN"/>
              </w:rPr>
            </w:pPr>
            <w:r>
              <w:rPr>
                <w:rFonts w:hint="eastAsia"/>
                <w:szCs w:val="24"/>
                <w:lang w:val="en-US" w:eastAsia="zh-CN"/>
              </w:rPr>
              <w:t>2300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95" w:type="dxa"/>
            <w:vAlign w:val="center"/>
          </w:tcPr>
          <w:p>
            <w:pPr>
              <w:jc w:val="center"/>
              <w:rPr>
                <w:szCs w:val="24"/>
              </w:rPr>
            </w:pPr>
            <w:r>
              <w:rPr>
                <w:rFonts w:hint="eastAsia"/>
                <w:szCs w:val="24"/>
              </w:rPr>
              <w:t>2</w:t>
            </w:r>
          </w:p>
        </w:tc>
        <w:tc>
          <w:tcPr>
            <w:tcW w:w="2617" w:type="dxa"/>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全景摄像机</w:t>
            </w:r>
          </w:p>
        </w:tc>
        <w:tc>
          <w:tcPr>
            <w:tcW w:w="7834" w:type="dxa"/>
            <w:vAlign w:val="center"/>
          </w:tcPr>
          <w:p>
            <w:pPr>
              <w:spacing w:line="240" w:lineRule="exact"/>
              <w:jc w:val="left"/>
              <w:rPr>
                <w:rFonts w:hint="eastAsia"/>
                <w:szCs w:val="21"/>
              </w:rPr>
            </w:pPr>
            <w:r>
              <w:rPr>
                <w:rFonts w:hint="eastAsia" w:ascii="宋体" w:hAnsi="宋体" w:eastAsia="宋体" w:cs="宋体"/>
                <w:i w:val="0"/>
                <w:color w:val="000000"/>
                <w:kern w:val="0"/>
                <w:sz w:val="20"/>
                <w:szCs w:val="20"/>
                <w:u w:val="none"/>
                <w:lang w:val="en-US" w:eastAsia="zh-CN" w:bidi="ar"/>
              </w:rPr>
              <w:t>传感器：1/2.8英寸CMOS、300W像素；主码流：主码流(2048×1536@25fps)、辅码流(704×576@25fps)、第三码流(1920×1080@25fps)；支持H.265/H.264编码；镜头：1.85mm定焦；支持水平:129.2°；垂直:102°；对角:141.3°超大视场角；支持120dB宽动态、3D降噪、强光抑制、背光补偿、三码流等功能；支持区域入侵、绊线入侵、物品遗留/消失、场景变更、徘徊检测、人员聚集、快速移动、非法停车、音频异常侦测、人脸检测、攀高检测、离岗检测、起身检测、外部报警、热度图等智能分析功能；音频接口：1路输入、1路输出、内置MIC；报警接口：2路输入、2路输出；1个10/100M以太网口；支持SD卡存储；电源：DC12/AC24V/POE；工作温度 -40℃~+60℃；防护等级：IP67、IK10</w:t>
            </w:r>
          </w:p>
        </w:tc>
        <w:tc>
          <w:tcPr>
            <w:tcW w:w="705" w:type="dxa"/>
            <w:vAlign w:val="center"/>
          </w:tcPr>
          <w:p>
            <w:pPr>
              <w:jc w:val="center"/>
              <w:rPr>
                <w:rFonts w:hint="eastAsia" w:eastAsia="宋体"/>
                <w:szCs w:val="24"/>
                <w:lang w:val="en-US" w:eastAsia="zh-CN"/>
              </w:rPr>
            </w:pPr>
            <w:r>
              <w:rPr>
                <w:rFonts w:hint="eastAsia"/>
                <w:szCs w:val="24"/>
                <w:lang w:val="en-US" w:eastAsia="zh-CN"/>
              </w:rPr>
              <w:t>1</w:t>
            </w:r>
          </w:p>
        </w:tc>
        <w:tc>
          <w:tcPr>
            <w:tcW w:w="1455" w:type="dxa"/>
            <w:vAlign w:val="center"/>
          </w:tcPr>
          <w:p>
            <w:pPr>
              <w:jc w:val="center"/>
              <w:rPr>
                <w:rFonts w:hint="eastAsia" w:eastAsia="宋体"/>
                <w:szCs w:val="24"/>
                <w:lang w:val="en-US" w:eastAsia="zh-CN"/>
              </w:rPr>
            </w:pPr>
            <w:r>
              <w:rPr>
                <w:rFonts w:hint="eastAsia"/>
                <w:szCs w:val="24"/>
                <w:lang w:val="en-US" w:eastAsia="zh-CN"/>
              </w:rPr>
              <w:t>1950</w:t>
            </w:r>
          </w:p>
        </w:tc>
        <w:tc>
          <w:tcPr>
            <w:tcW w:w="1170" w:type="dxa"/>
            <w:vAlign w:val="center"/>
          </w:tcPr>
          <w:p>
            <w:pPr>
              <w:jc w:val="center"/>
              <w:rPr>
                <w:rFonts w:hint="eastAsia" w:eastAsia="宋体"/>
                <w:szCs w:val="24"/>
                <w:lang w:val="en-US" w:eastAsia="zh-CN"/>
              </w:rPr>
            </w:pPr>
            <w:r>
              <w:rPr>
                <w:rFonts w:hint="eastAsia"/>
                <w:szCs w:val="24"/>
                <w:lang w:val="en-US" w:eastAsia="zh-CN"/>
              </w:rPr>
              <w:t>1950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1" w:hRule="atLeast"/>
        </w:trPr>
        <w:tc>
          <w:tcPr>
            <w:tcW w:w="595" w:type="dxa"/>
            <w:tcBorders>
              <w:top w:val="single" w:color="auto" w:sz="4" w:space="0"/>
              <w:left w:val="single" w:color="auto" w:sz="4" w:space="0"/>
              <w:right w:val="single" w:color="auto" w:sz="4" w:space="0"/>
            </w:tcBorders>
            <w:vAlign w:val="center"/>
          </w:tcPr>
          <w:p>
            <w:pPr>
              <w:jc w:val="center"/>
              <w:rPr>
                <w:szCs w:val="24"/>
              </w:rPr>
            </w:pPr>
            <w:r>
              <w:rPr>
                <w:szCs w:val="24"/>
              </w:rPr>
              <w:t>3</w:t>
            </w:r>
          </w:p>
        </w:tc>
        <w:tc>
          <w:tcPr>
            <w:tcW w:w="2617" w:type="dxa"/>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全景半球支架</w:t>
            </w:r>
          </w:p>
        </w:tc>
        <w:tc>
          <w:tcPr>
            <w:tcW w:w="7834" w:type="dxa"/>
            <w:vAlign w:val="center"/>
          </w:tcPr>
          <w:p>
            <w:pPr>
              <w:spacing w:line="240" w:lineRule="exact"/>
              <w:jc w:val="left"/>
              <w:rPr>
                <w:rFonts w:hint="eastAsia" w:eastAsia="宋体"/>
                <w:szCs w:val="21"/>
                <w:lang w:val="en-US" w:eastAsia="zh-CN"/>
              </w:rPr>
            </w:pPr>
            <w:r>
              <w:rPr>
                <w:rFonts w:hint="eastAsia" w:ascii="宋体" w:hAnsi="宋体" w:eastAsia="宋体" w:cs="宋体"/>
                <w:i w:val="0"/>
                <w:color w:val="000000"/>
                <w:kern w:val="0"/>
                <w:sz w:val="20"/>
                <w:szCs w:val="20"/>
                <w:u w:val="none"/>
                <w:lang w:val="en-US" w:eastAsia="zh-CN" w:bidi="ar"/>
              </w:rPr>
              <w:t>金属支架与摄像机匹配</w:t>
            </w:r>
          </w:p>
        </w:tc>
        <w:tc>
          <w:tcPr>
            <w:tcW w:w="705"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1</w:t>
            </w:r>
          </w:p>
        </w:tc>
        <w:tc>
          <w:tcPr>
            <w:tcW w:w="1455"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80</w:t>
            </w:r>
          </w:p>
        </w:tc>
        <w:tc>
          <w:tcPr>
            <w:tcW w:w="1170"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595" w:type="dxa"/>
            <w:tcBorders>
              <w:top w:val="single" w:color="auto" w:sz="4" w:space="0"/>
              <w:left w:val="single" w:color="auto" w:sz="4" w:space="0"/>
              <w:right w:val="single" w:color="auto" w:sz="4" w:space="0"/>
            </w:tcBorders>
            <w:vAlign w:val="center"/>
          </w:tcPr>
          <w:p>
            <w:pPr>
              <w:jc w:val="center"/>
              <w:rPr>
                <w:szCs w:val="24"/>
              </w:rPr>
            </w:pPr>
            <w:r>
              <w:rPr>
                <w:szCs w:val="24"/>
              </w:rPr>
              <w:t>4</w:t>
            </w:r>
          </w:p>
        </w:tc>
        <w:tc>
          <w:tcPr>
            <w:tcW w:w="2617" w:type="dxa"/>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拾音器</w:t>
            </w:r>
          </w:p>
        </w:tc>
        <w:tc>
          <w:tcPr>
            <w:tcW w:w="7834" w:type="dxa"/>
            <w:vAlign w:val="center"/>
          </w:tcPr>
          <w:p>
            <w:pPr>
              <w:spacing w:line="240" w:lineRule="exact"/>
              <w:jc w:val="both"/>
              <w:rPr>
                <w:rFonts w:hint="default" w:ascii="宋体" w:hAnsi="宋体" w:eastAsia="宋体" w:cs="宋体"/>
                <w:i w:val="0"/>
                <w:color w:val="000000"/>
                <w:kern w:val="0"/>
                <w:sz w:val="20"/>
                <w:szCs w:val="20"/>
                <w:u w:val="none"/>
                <w:lang w:val="en-US" w:eastAsia="zh-CN" w:bidi="ar"/>
              </w:rPr>
            </w:pPr>
            <w:r>
              <w:rPr>
                <w:rFonts w:hint="default" w:ascii="宋体" w:hAnsi="宋体" w:eastAsia="宋体" w:cs="宋体"/>
                <w:i w:val="0"/>
                <w:color w:val="000000"/>
                <w:kern w:val="0"/>
                <w:sz w:val="20"/>
                <w:szCs w:val="20"/>
                <w:u w:val="none"/>
                <w:lang w:val="en-US" w:eastAsia="zh-CN" w:bidi="ar"/>
              </w:rPr>
              <w:t>拾音面积10平方米-35平方米</w:t>
            </w:r>
            <w:r>
              <w:rPr>
                <w:rFonts w:hint="eastAsia" w:ascii="宋体" w:hAnsi="宋体" w:eastAsia="宋体" w:cs="宋体"/>
                <w:i w:val="0"/>
                <w:color w:val="000000"/>
                <w:kern w:val="0"/>
                <w:sz w:val="20"/>
                <w:szCs w:val="20"/>
                <w:u w:val="none"/>
                <w:lang w:val="en-US" w:eastAsia="zh-CN" w:bidi="ar"/>
              </w:rPr>
              <w:t>，</w:t>
            </w:r>
            <w:r>
              <w:rPr>
                <w:rFonts w:hint="default" w:ascii="宋体" w:hAnsi="宋体" w:eastAsia="宋体" w:cs="宋体"/>
                <w:i w:val="0"/>
                <w:color w:val="000000"/>
                <w:kern w:val="0"/>
                <w:sz w:val="20"/>
                <w:szCs w:val="20"/>
                <w:u w:val="none"/>
                <w:lang w:val="en-US" w:eastAsia="zh-CN" w:bidi="ar"/>
              </w:rPr>
              <w:t>信号处理电路</w:t>
            </w:r>
            <w:r>
              <w:rPr>
                <w:rFonts w:hint="eastAsia" w:ascii="宋体" w:hAnsi="宋体" w:eastAsia="宋体" w:cs="宋体"/>
                <w:i w:val="0"/>
                <w:color w:val="000000"/>
                <w:kern w:val="0"/>
                <w:sz w:val="20"/>
                <w:szCs w:val="20"/>
                <w:u w:val="none"/>
                <w:lang w:val="en-US" w:eastAsia="zh-CN" w:bidi="ar"/>
              </w:rPr>
              <w:t>：</w:t>
            </w:r>
            <w:r>
              <w:rPr>
                <w:rFonts w:hint="default" w:ascii="宋体" w:hAnsi="宋体" w:eastAsia="宋体" w:cs="宋体"/>
                <w:i w:val="0"/>
                <w:color w:val="000000"/>
                <w:kern w:val="0"/>
                <w:sz w:val="20"/>
                <w:szCs w:val="20"/>
                <w:u w:val="none"/>
                <w:lang w:val="en-US" w:eastAsia="zh-CN" w:bidi="ar"/>
              </w:rPr>
              <w:t>数字降噪</w:t>
            </w:r>
          </w:p>
          <w:p>
            <w:pPr>
              <w:spacing w:line="240" w:lineRule="exact"/>
              <w:jc w:val="center"/>
              <w:rPr>
                <w:szCs w:val="21"/>
              </w:rPr>
            </w:pPr>
          </w:p>
        </w:tc>
        <w:tc>
          <w:tcPr>
            <w:tcW w:w="705"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3</w:t>
            </w:r>
          </w:p>
        </w:tc>
        <w:tc>
          <w:tcPr>
            <w:tcW w:w="1455"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 xml:space="preserve">510 </w:t>
            </w:r>
          </w:p>
        </w:tc>
        <w:tc>
          <w:tcPr>
            <w:tcW w:w="1170"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6" w:hRule="atLeast"/>
        </w:trPr>
        <w:tc>
          <w:tcPr>
            <w:tcW w:w="595" w:type="dxa"/>
            <w:tcBorders>
              <w:top w:val="single" w:color="auto" w:sz="4" w:space="0"/>
              <w:left w:val="single" w:color="auto" w:sz="4" w:space="0"/>
              <w:right w:val="single" w:color="auto" w:sz="4" w:space="0"/>
            </w:tcBorders>
            <w:vAlign w:val="center"/>
          </w:tcPr>
          <w:p>
            <w:pPr>
              <w:jc w:val="center"/>
              <w:rPr>
                <w:szCs w:val="24"/>
              </w:rPr>
            </w:pPr>
            <w:r>
              <w:rPr>
                <w:szCs w:val="24"/>
              </w:rPr>
              <w:t>5</w:t>
            </w:r>
          </w:p>
        </w:tc>
        <w:tc>
          <w:tcPr>
            <w:tcW w:w="2617" w:type="dxa"/>
            <w:tcBorders>
              <w:top w:val="single" w:color="auto" w:sz="4" w:space="0"/>
              <w:left w:val="single" w:color="auto" w:sz="4" w:space="0"/>
              <w:right w:val="single" w:color="auto" w:sz="4" w:space="0"/>
            </w:tcBorders>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网络交换机</w:t>
            </w:r>
          </w:p>
        </w:tc>
        <w:tc>
          <w:tcPr>
            <w:tcW w:w="7834" w:type="dxa"/>
            <w:vAlign w:val="center"/>
          </w:tcPr>
          <w:p>
            <w:pPr>
              <w:spacing w:line="240" w:lineRule="exact"/>
              <w:jc w:val="center"/>
              <w:rPr>
                <w:szCs w:val="21"/>
              </w:rPr>
            </w:pPr>
            <w:r>
              <w:rPr>
                <w:rFonts w:hint="eastAsia" w:ascii="宋体" w:hAnsi="宋体" w:eastAsia="宋体" w:cs="宋体"/>
                <w:i w:val="0"/>
                <w:color w:val="000000"/>
                <w:kern w:val="0"/>
                <w:sz w:val="20"/>
                <w:szCs w:val="20"/>
                <w:u w:val="none"/>
                <w:lang w:val="en-US" w:eastAsia="zh-CN" w:bidi="ar"/>
              </w:rPr>
              <w:t>非网管二层百兆安防工业交换机，8* 10/100M，1*100/1000M RJ45电口，1*1000M SFP光口，工作温度：-40-75°，DC12V\1A</w:t>
            </w:r>
          </w:p>
        </w:tc>
        <w:tc>
          <w:tcPr>
            <w:tcW w:w="705"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1</w:t>
            </w:r>
          </w:p>
        </w:tc>
        <w:tc>
          <w:tcPr>
            <w:tcW w:w="1455"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550</w:t>
            </w:r>
          </w:p>
        </w:tc>
        <w:tc>
          <w:tcPr>
            <w:tcW w:w="1170"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6" w:hRule="atLeast"/>
        </w:trPr>
        <w:tc>
          <w:tcPr>
            <w:tcW w:w="595" w:type="dxa"/>
            <w:vAlign w:val="center"/>
          </w:tcPr>
          <w:p>
            <w:pPr>
              <w:rPr>
                <w:szCs w:val="24"/>
              </w:rPr>
            </w:pPr>
            <w:r>
              <w:rPr>
                <w:szCs w:val="24"/>
              </w:rPr>
              <w:t>6</w:t>
            </w:r>
          </w:p>
        </w:tc>
        <w:tc>
          <w:tcPr>
            <w:tcW w:w="2617" w:type="dxa"/>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网络硬盘录像机</w:t>
            </w:r>
          </w:p>
        </w:tc>
        <w:tc>
          <w:tcPr>
            <w:tcW w:w="7834" w:type="dxa"/>
            <w:vAlign w:val="center"/>
          </w:tcPr>
          <w:p>
            <w:pPr>
              <w:spacing w:line="240" w:lineRule="exact"/>
              <w:jc w:val="center"/>
              <w:rPr>
                <w:szCs w:val="21"/>
              </w:rPr>
            </w:pPr>
            <w:r>
              <w:rPr>
                <w:rFonts w:hint="eastAsia" w:ascii="宋体" w:hAnsi="宋体" w:eastAsia="宋体" w:cs="宋体"/>
                <w:i w:val="0"/>
                <w:color w:val="000000"/>
                <w:kern w:val="0"/>
                <w:sz w:val="20"/>
                <w:szCs w:val="20"/>
                <w:u w:val="none"/>
                <w:lang w:val="en-US" w:eastAsia="zh-CN" w:bidi="ar"/>
              </w:rPr>
              <w:t>工业级嵌入式微控制器；嵌入式Linux实时操作系统；网络协议IPv4、IPv6、HTTP、UPnP、NTP、SADP、SNMP、PPPoE、DNS、FTP、ONVIF（支持2.4版本）、PSIA；前智能支持；后智能不支持；网络带宽接入320Mbps,储存320Mbps,转发320Mbps；网络视频接入32路；IPC分辨率12M/4K/6M/5M/4M/3M/1080P/1.3M/720P；解码能力2×12M/4×4K/6×5M/8×4M/11×3M/16×1080P/32×720P；2路VGA输出，2路HDMI输出，支持VGA1和HDMI 1同源输出，双HDMI 异源输出；最大支持16路回放；视频压缩标准Smart H.265/Smart H.264/H.265/H.264/MPEG4/MJPEG；8个内置SATA接口，单盘容量支持8T，可配置成单盘，支持Raid0、Raid1、Raid5、Raid6、Raid10、JBOD等各种数据保护模式；2个RJ45 10/100/1000Mbps自适应以太网口；2个前置USB2.0接口/2个后置USB3.0接口；1路，RCA支持IPC复合音频输入/2路，RCA支持语音对讲输出；报警接口16进6出；1个RS-232/1个RS-485；1个外置eSATA接口；1个电源接口，AC100～240V 50+2% Hz</w:t>
            </w:r>
          </w:p>
        </w:tc>
        <w:tc>
          <w:tcPr>
            <w:tcW w:w="705" w:type="dxa"/>
            <w:vAlign w:val="center"/>
          </w:tcPr>
          <w:p>
            <w:pPr>
              <w:jc w:val="center"/>
              <w:rPr>
                <w:rFonts w:hint="eastAsia" w:eastAsia="宋体"/>
                <w:szCs w:val="24"/>
                <w:lang w:val="en-US" w:eastAsia="zh-CN"/>
              </w:rPr>
            </w:pPr>
            <w:r>
              <w:rPr>
                <w:rFonts w:hint="eastAsia"/>
                <w:szCs w:val="24"/>
                <w:lang w:val="en-US" w:eastAsia="zh-CN"/>
              </w:rPr>
              <w:t>1</w:t>
            </w:r>
          </w:p>
        </w:tc>
        <w:tc>
          <w:tcPr>
            <w:tcW w:w="1455" w:type="dxa"/>
            <w:vAlign w:val="center"/>
          </w:tcPr>
          <w:p>
            <w:pPr>
              <w:jc w:val="center"/>
              <w:rPr>
                <w:rFonts w:hint="eastAsia" w:eastAsia="宋体"/>
                <w:szCs w:val="24"/>
                <w:lang w:val="en-US" w:eastAsia="zh-CN"/>
              </w:rPr>
            </w:pPr>
            <w:r>
              <w:rPr>
                <w:rFonts w:hint="eastAsia"/>
                <w:szCs w:val="24"/>
                <w:lang w:val="en-US" w:eastAsia="zh-CN"/>
              </w:rPr>
              <w:t>3450</w:t>
            </w:r>
          </w:p>
        </w:tc>
        <w:tc>
          <w:tcPr>
            <w:tcW w:w="1170" w:type="dxa"/>
            <w:vAlign w:val="center"/>
          </w:tcPr>
          <w:p>
            <w:pPr>
              <w:jc w:val="center"/>
              <w:rPr>
                <w:rFonts w:hint="eastAsia" w:eastAsia="宋体"/>
                <w:szCs w:val="24"/>
                <w:lang w:val="en-US" w:eastAsia="zh-CN"/>
              </w:rPr>
            </w:pPr>
            <w:r>
              <w:rPr>
                <w:rFonts w:hint="eastAsia"/>
                <w:szCs w:val="24"/>
                <w:lang w:val="en-US" w:eastAsia="zh-CN"/>
              </w:rPr>
              <w:t>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595" w:type="dxa"/>
            <w:vAlign w:val="center"/>
          </w:tcPr>
          <w:p>
            <w:pPr>
              <w:jc w:val="center"/>
              <w:rPr>
                <w:rFonts w:hint="eastAsia"/>
                <w:szCs w:val="24"/>
              </w:rPr>
            </w:pPr>
            <w:r>
              <w:rPr>
                <w:rFonts w:hint="eastAsia"/>
                <w:szCs w:val="24"/>
              </w:rPr>
              <w:t>7</w:t>
            </w:r>
          </w:p>
        </w:tc>
        <w:tc>
          <w:tcPr>
            <w:tcW w:w="2617" w:type="dxa"/>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企业级硬盘</w:t>
            </w:r>
          </w:p>
        </w:tc>
        <w:tc>
          <w:tcPr>
            <w:tcW w:w="7834" w:type="dxa"/>
            <w:vAlign w:val="center"/>
          </w:tcPr>
          <w:p>
            <w:pPr>
              <w:keepNext w:val="0"/>
              <w:keepLines w:val="0"/>
              <w:widowControl/>
              <w:suppressLineNumbers w:val="0"/>
              <w:jc w:val="left"/>
              <w:textAlignment w:val="center"/>
              <w:rPr>
                <w:szCs w:val="24"/>
              </w:rPr>
            </w:pPr>
            <w:r>
              <w:rPr>
                <w:rFonts w:hint="eastAsia" w:ascii="宋体" w:hAnsi="宋体" w:eastAsia="宋体" w:cs="宋体"/>
                <w:i w:val="0"/>
                <w:color w:val="000000"/>
                <w:kern w:val="0"/>
                <w:sz w:val="20"/>
                <w:szCs w:val="20"/>
                <w:u w:val="none"/>
                <w:lang w:val="en-US" w:eastAsia="zh-CN" w:bidi="ar"/>
              </w:rPr>
              <w:t>ST4000NM0025</w:t>
            </w:r>
          </w:p>
        </w:tc>
        <w:tc>
          <w:tcPr>
            <w:tcW w:w="705" w:type="dxa"/>
            <w:vAlign w:val="center"/>
          </w:tcPr>
          <w:p>
            <w:pPr>
              <w:jc w:val="center"/>
              <w:rPr>
                <w:rFonts w:hint="eastAsia" w:eastAsia="宋体"/>
                <w:szCs w:val="24"/>
                <w:lang w:val="en-US" w:eastAsia="zh-CN"/>
              </w:rPr>
            </w:pPr>
            <w:r>
              <w:rPr>
                <w:rFonts w:hint="eastAsia"/>
                <w:szCs w:val="24"/>
                <w:lang w:val="en-US" w:eastAsia="zh-CN"/>
              </w:rPr>
              <w:t>8</w:t>
            </w:r>
          </w:p>
        </w:tc>
        <w:tc>
          <w:tcPr>
            <w:tcW w:w="1455" w:type="dxa"/>
            <w:vAlign w:val="center"/>
          </w:tcPr>
          <w:p>
            <w:pPr>
              <w:jc w:val="center"/>
              <w:rPr>
                <w:rFonts w:hint="eastAsia" w:eastAsia="宋体"/>
                <w:szCs w:val="24"/>
                <w:lang w:val="en-US" w:eastAsia="zh-CN"/>
              </w:rPr>
            </w:pPr>
            <w:r>
              <w:rPr>
                <w:rFonts w:hint="eastAsia"/>
                <w:szCs w:val="24"/>
                <w:lang w:val="en-US" w:eastAsia="zh-CN"/>
              </w:rPr>
              <w:t>880</w:t>
            </w:r>
          </w:p>
        </w:tc>
        <w:tc>
          <w:tcPr>
            <w:tcW w:w="1170" w:type="dxa"/>
            <w:vAlign w:val="center"/>
          </w:tcPr>
          <w:p>
            <w:pPr>
              <w:jc w:val="center"/>
              <w:rPr>
                <w:rFonts w:hint="eastAsia" w:eastAsia="宋体"/>
                <w:szCs w:val="24"/>
                <w:lang w:val="en-US" w:eastAsia="zh-CN"/>
              </w:rPr>
            </w:pPr>
            <w:r>
              <w:rPr>
                <w:rFonts w:hint="eastAsia"/>
                <w:szCs w:val="24"/>
                <w:lang w:val="en-US" w:eastAsia="zh-CN"/>
              </w:rPr>
              <w:t>7040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595" w:type="dxa"/>
            <w:vAlign w:val="center"/>
          </w:tcPr>
          <w:p>
            <w:pPr>
              <w:jc w:val="center"/>
              <w:rPr>
                <w:rFonts w:hint="eastAsia"/>
                <w:szCs w:val="24"/>
              </w:rPr>
            </w:pPr>
            <w:r>
              <w:rPr>
                <w:rFonts w:hint="eastAsia"/>
                <w:szCs w:val="24"/>
              </w:rPr>
              <w:t>8</w:t>
            </w:r>
          </w:p>
        </w:tc>
        <w:tc>
          <w:tcPr>
            <w:tcW w:w="2617" w:type="dxa"/>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摄像机电源</w:t>
            </w:r>
          </w:p>
        </w:tc>
        <w:tc>
          <w:tcPr>
            <w:tcW w:w="7834" w:type="dxa"/>
            <w:vAlign w:val="center"/>
          </w:tcPr>
          <w:p>
            <w:pPr>
              <w:keepNext w:val="0"/>
              <w:keepLines w:val="0"/>
              <w:widowControl/>
              <w:suppressLineNumbers w:val="0"/>
              <w:jc w:val="left"/>
              <w:textAlignment w:val="center"/>
              <w:rPr>
                <w:szCs w:val="24"/>
              </w:rPr>
            </w:pPr>
            <w:r>
              <w:rPr>
                <w:rFonts w:hint="eastAsia" w:ascii="宋体" w:hAnsi="宋体" w:eastAsia="宋体" w:cs="宋体"/>
                <w:i w:val="0"/>
                <w:color w:val="000000"/>
                <w:kern w:val="0"/>
                <w:sz w:val="20"/>
                <w:szCs w:val="20"/>
                <w:u w:val="none"/>
                <w:lang w:val="en-US" w:eastAsia="zh-CN" w:bidi="ar"/>
              </w:rPr>
              <w:t xml:space="preserve">DC12V </w:t>
            </w:r>
          </w:p>
        </w:tc>
        <w:tc>
          <w:tcPr>
            <w:tcW w:w="705" w:type="dxa"/>
            <w:vAlign w:val="center"/>
          </w:tcPr>
          <w:p>
            <w:pPr>
              <w:jc w:val="center"/>
              <w:rPr>
                <w:rFonts w:hint="eastAsia"/>
                <w:szCs w:val="24"/>
                <w:lang w:val="en-US" w:eastAsia="zh-CN"/>
              </w:rPr>
            </w:pPr>
            <w:r>
              <w:rPr>
                <w:rFonts w:hint="eastAsia"/>
                <w:szCs w:val="24"/>
                <w:lang w:val="en-US" w:eastAsia="zh-CN"/>
              </w:rPr>
              <w:t>3</w:t>
            </w:r>
          </w:p>
        </w:tc>
        <w:tc>
          <w:tcPr>
            <w:tcW w:w="1455" w:type="dxa"/>
            <w:vAlign w:val="center"/>
          </w:tcPr>
          <w:p>
            <w:pPr>
              <w:jc w:val="center"/>
              <w:rPr>
                <w:rFonts w:hint="eastAsia" w:eastAsia="宋体"/>
                <w:szCs w:val="24"/>
                <w:lang w:val="en-US" w:eastAsia="zh-CN"/>
              </w:rPr>
            </w:pPr>
            <w:r>
              <w:rPr>
                <w:rFonts w:hint="eastAsia"/>
                <w:szCs w:val="24"/>
                <w:lang w:val="en-US" w:eastAsia="zh-CN"/>
              </w:rPr>
              <w:t>45</w:t>
            </w:r>
          </w:p>
        </w:tc>
        <w:tc>
          <w:tcPr>
            <w:tcW w:w="1170" w:type="dxa"/>
            <w:vAlign w:val="center"/>
          </w:tcPr>
          <w:p>
            <w:pPr>
              <w:jc w:val="center"/>
              <w:rPr>
                <w:rFonts w:hint="eastAsia" w:eastAsia="宋体"/>
                <w:szCs w:val="24"/>
                <w:lang w:val="en-US" w:eastAsia="zh-CN"/>
              </w:rPr>
            </w:pPr>
            <w:r>
              <w:rPr>
                <w:rFonts w:hint="eastAsia"/>
                <w:szCs w:val="24"/>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trPr>
        <w:tc>
          <w:tcPr>
            <w:tcW w:w="595" w:type="dxa"/>
            <w:vAlign w:val="center"/>
          </w:tcPr>
          <w:p>
            <w:pPr>
              <w:jc w:val="center"/>
              <w:rPr>
                <w:rFonts w:hint="eastAsia"/>
                <w:szCs w:val="24"/>
              </w:rPr>
            </w:pPr>
            <w:r>
              <w:rPr>
                <w:rFonts w:hint="eastAsia"/>
                <w:szCs w:val="24"/>
              </w:rPr>
              <w:t>9</w:t>
            </w:r>
          </w:p>
        </w:tc>
        <w:tc>
          <w:tcPr>
            <w:tcW w:w="2617" w:type="dxa"/>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32寸监视器</w:t>
            </w:r>
          </w:p>
        </w:tc>
        <w:tc>
          <w:tcPr>
            <w:tcW w:w="7834" w:type="dxa"/>
            <w:vAlign w:val="center"/>
          </w:tcPr>
          <w:p>
            <w:pPr>
              <w:jc w:val="center"/>
              <w:rPr>
                <w:szCs w:val="24"/>
              </w:rPr>
            </w:pPr>
            <w:r>
              <w:rPr>
                <w:rFonts w:hint="eastAsia" w:ascii="宋体" w:hAnsi="宋体" w:eastAsia="宋体" w:cs="宋体"/>
                <w:i w:val="0"/>
                <w:color w:val="000000"/>
                <w:kern w:val="0"/>
                <w:sz w:val="20"/>
                <w:szCs w:val="20"/>
                <w:u w:val="none"/>
                <w:lang w:val="en-US" w:eastAsia="zh-CN" w:bidi="ar"/>
              </w:rPr>
              <w:t>尺寸：32寸；屏幕比例：16:9；材质：金属；背光：LED；分辨率：1920*1080；亮度：350cd/m2；对比度：1200:1；遥控方式：按键控制；安装方式：底座/壁挂；底座选配，壁挂支架选配</w:t>
            </w:r>
          </w:p>
        </w:tc>
        <w:tc>
          <w:tcPr>
            <w:tcW w:w="705" w:type="dxa"/>
            <w:vAlign w:val="center"/>
          </w:tcPr>
          <w:p>
            <w:pPr>
              <w:jc w:val="center"/>
              <w:rPr>
                <w:rFonts w:hint="eastAsia" w:eastAsia="宋体"/>
                <w:szCs w:val="24"/>
                <w:lang w:val="en-US" w:eastAsia="zh-CN"/>
              </w:rPr>
            </w:pPr>
            <w:r>
              <w:rPr>
                <w:rFonts w:hint="eastAsia"/>
                <w:szCs w:val="24"/>
                <w:lang w:val="en-US" w:eastAsia="zh-CN"/>
              </w:rPr>
              <w:t>1</w:t>
            </w:r>
          </w:p>
        </w:tc>
        <w:tc>
          <w:tcPr>
            <w:tcW w:w="1455" w:type="dxa"/>
            <w:vAlign w:val="center"/>
          </w:tcPr>
          <w:p>
            <w:pPr>
              <w:jc w:val="center"/>
              <w:rPr>
                <w:rFonts w:hint="eastAsia" w:eastAsia="宋体"/>
                <w:szCs w:val="24"/>
                <w:lang w:val="en-US" w:eastAsia="zh-CN"/>
              </w:rPr>
            </w:pPr>
            <w:r>
              <w:rPr>
                <w:rFonts w:hint="eastAsia"/>
                <w:szCs w:val="24"/>
                <w:lang w:val="en-US" w:eastAsia="zh-CN"/>
              </w:rPr>
              <w:t>4500</w:t>
            </w:r>
          </w:p>
        </w:tc>
        <w:tc>
          <w:tcPr>
            <w:tcW w:w="1170" w:type="dxa"/>
            <w:vAlign w:val="center"/>
          </w:tcPr>
          <w:p>
            <w:pPr>
              <w:jc w:val="center"/>
              <w:rPr>
                <w:rFonts w:hint="eastAsia" w:eastAsia="宋体"/>
                <w:szCs w:val="24"/>
                <w:lang w:val="en-US" w:eastAsia="zh-CN"/>
              </w:rPr>
            </w:pPr>
            <w:r>
              <w:rPr>
                <w:rFonts w:hint="eastAsia"/>
                <w:szCs w:val="24"/>
                <w:lang w:val="en-US" w:eastAsia="zh-CN"/>
              </w:rPr>
              <w:t>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595" w:type="dxa"/>
            <w:vAlign w:val="center"/>
          </w:tcPr>
          <w:p>
            <w:pPr>
              <w:jc w:val="center"/>
              <w:rPr>
                <w:rFonts w:hint="eastAsia"/>
                <w:szCs w:val="24"/>
              </w:rPr>
            </w:pPr>
            <w:r>
              <w:rPr>
                <w:rFonts w:hint="eastAsia"/>
                <w:szCs w:val="24"/>
              </w:rPr>
              <w:t>10</w:t>
            </w:r>
          </w:p>
        </w:tc>
        <w:tc>
          <w:tcPr>
            <w:tcW w:w="2617" w:type="dxa"/>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壁挂支架</w:t>
            </w:r>
          </w:p>
        </w:tc>
        <w:tc>
          <w:tcPr>
            <w:tcW w:w="7834" w:type="dxa"/>
            <w:vAlign w:val="center"/>
          </w:tcPr>
          <w:p>
            <w:pPr>
              <w:ind w:firstLine="2730" w:firstLineChars="1300"/>
              <w:rPr>
                <w:rFonts w:hint="eastAsia" w:eastAsia="宋体"/>
                <w:lang w:val="en-US" w:eastAsia="zh-CN"/>
              </w:rPr>
            </w:pPr>
          </w:p>
        </w:tc>
        <w:tc>
          <w:tcPr>
            <w:tcW w:w="705" w:type="dxa"/>
            <w:vAlign w:val="center"/>
          </w:tcPr>
          <w:p>
            <w:pPr>
              <w:jc w:val="center"/>
              <w:rPr>
                <w:rFonts w:hint="eastAsia" w:eastAsia="宋体"/>
                <w:szCs w:val="24"/>
                <w:lang w:val="en-US" w:eastAsia="zh-CN"/>
              </w:rPr>
            </w:pPr>
            <w:r>
              <w:rPr>
                <w:rFonts w:hint="eastAsia"/>
                <w:szCs w:val="24"/>
                <w:lang w:val="en-US" w:eastAsia="zh-CN"/>
              </w:rPr>
              <w:t>1</w:t>
            </w:r>
          </w:p>
        </w:tc>
        <w:tc>
          <w:tcPr>
            <w:tcW w:w="1455" w:type="dxa"/>
            <w:vAlign w:val="center"/>
          </w:tcPr>
          <w:p>
            <w:pPr>
              <w:jc w:val="center"/>
              <w:rPr>
                <w:rFonts w:hint="eastAsia" w:eastAsia="宋体"/>
                <w:szCs w:val="24"/>
                <w:lang w:val="en-US" w:eastAsia="zh-CN"/>
              </w:rPr>
            </w:pPr>
            <w:r>
              <w:rPr>
                <w:rFonts w:hint="eastAsia"/>
                <w:szCs w:val="24"/>
                <w:lang w:val="en-US" w:eastAsia="zh-CN"/>
              </w:rPr>
              <w:t>150</w:t>
            </w:r>
          </w:p>
        </w:tc>
        <w:tc>
          <w:tcPr>
            <w:tcW w:w="1170" w:type="dxa"/>
            <w:vAlign w:val="center"/>
          </w:tcPr>
          <w:p>
            <w:pPr>
              <w:jc w:val="center"/>
              <w:rPr>
                <w:rFonts w:hint="eastAsia" w:eastAsia="宋体"/>
                <w:szCs w:val="24"/>
                <w:lang w:val="en-US" w:eastAsia="zh-CN"/>
              </w:rPr>
            </w:pPr>
            <w:r>
              <w:rPr>
                <w:rFonts w:hint="eastAsia"/>
                <w:szCs w:val="24"/>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9" w:hRule="atLeast"/>
        </w:trPr>
        <w:tc>
          <w:tcPr>
            <w:tcW w:w="595" w:type="dxa"/>
            <w:vAlign w:val="center"/>
          </w:tcPr>
          <w:p>
            <w:pPr>
              <w:jc w:val="center"/>
              <w:rPr>
                <w:rFonts w:hint="eastAsia"/>
                <w:szCs w:val="24"/>
              </w:rPr>
            </w:pPr>
            <w:r>
              <w:rPr>
                <w:rFonts w:hint="eastAsia"/>
                <w:szCs w:val="24"/>
              </w:rPr>
              <w:t>11</w:t>
            </w:r>
          </w:p>
        </w:tc>
        <w:tc>
          <w:tcPr>
            <w:tcW w:w="2617" w:type="dxa"/>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outlineLvl w:val="9"/>
              <w:rPr>
                <w:szCs w:val="24"/>
              </w:rPr>
            </w:pPr>
            <w:r>
              <w:rPr>
                <w:rFonts w:hint="eastAsia" w:ascii="宋体" w:hAnsi="宋体" w:eastAsia="宋体" w:cs="宋体"/>
                <w:i w:val="0"/>
                <w:color w:val="000000"/>
                <w:kern w:val="0"/>
                <w:sz w:val="20"/>
                <w:szCs w:val="20"/>
                <w:u w:val="none"/>
                <w:lang w:val="en-US" w:eastAsia="zh-CN" w:bidi="ar"/>
              </w:rPr>
              <w:t>无线对讲机</w:t>
            </w:r>
          </w:p>
        </w:tc>
        <w:tc>
          <w:tcPr>
            <w:tcW w:w="7834" w:type="dxa"/>
            <w:vAlign w:val="center"/>
          </w:tcPr>
          <w:p>
            <w:pPr>
              <w:keepNext w:val="0"/>
              <w:keepLines w:val="0"/>
              <w:pageBreakBefore w:val="0"/>
              <w:kinsoku/>
              <w:wordWrap/>
              <w:overflowPunct/>
              <w:topLinePunct w:val="0"/>
              <w:autoSpaceDE/>
              <w:autoSpaceDN/>
              <w:bidi w:val="0"/>
              <w:adjustRightInd/>
              <w:snapToGrid/>
              <w:spacing w:line="120" w:lineRule="auto"/>
              <w:jc w:val="center"/>
              <w:outlineLvl w:val="9"/>
              <w:rPr>
                <w:rFonts w:hint="eastAsia" w:ascii="宋体" w:hAnsi="宋体" w:eastAsia="宋体" w:cs="宋体"/>
                <w:i w:val="0"/>
                <w:color w:val="000000"/>
                <w:kern w:val="0"/>
                <w:sz w:val="20"/>
                <w:szCs w:val="20"/>
                <w:u w:val="none"/>
                <w:lang w:val="en-US" w:eastAsia="zh-CN" w:bidi="ar"/>
              </w:rPr>
            </w:pPr>
          </w:p>
          <w:p>
            <w:pPr>
              <w:keepNext w:val="0"/>
              <w:keepLines w:val="0"/>
              <w:pageBreakBefore w:val="0"/>
              <w:kinsoku/>
              <w:wordWrap/>
              <w:overflowPunct/>
              <w:topLinePunct w:val="0"/>
              <w:autoSpaceDE/>
              <w:autoSpaceDN/>
              <w:bidi w:val="0"/>
              <w:adjustRightInd/>
              <w:snapToGrid/>
              <w:spacing w:line="120" w:lineRule="auto"/>
              <w:jc w:val="center"/>
              <w:outlineLvl w:val="9"/>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电池容量：2001毫安时以上    制式：模拟对讲机</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120" w:lineRule="auto"/>
              <w:ind w:left="0" w:right="0" w:hanging="360"/>
              <w:outlineLvl w:val="9"/>
            </w:pPr>
          </w:p>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outlineLvl w:val="9"/>
              <w:rPr>
                <w:szCs w:val="24"/>
              </w:rPr>
            </w:pPr>
          </w:p>
        </w:tc>
        <w:tc>
          <w:tcPr>
            <w:tcW w:w="705" w:type="dxa"/>
            <w:vAlign w:val="center"/>
          </w:tcPr>
          <w:p>
            <w:pPr>
              <w:keepNext w:val="0"/>
              <w:keepLines w:val="0"/>
              <w:pageBreakBefore w:val="0"/>
              <w:kinsoku/>
              <w:wordWrap/>
              <w:overflowPunct/>
              <w:topLinePunct w:val="0"/>
              <w:autoSpaceDE/>
              <w:autoSpaceDN/>
              <w:bidi w:val="0"/>
              <w:adjustRightInd/>
              <w:snapToGrid/>
              <w:spacing w:line="120" w:lineRule="auto"/>
              <w:jc w:val="center"/>
              <w:outlineLvl w:val="9"/>
              <w:rPr>
                <w:rFonts w:hint="eastAsia" w:eastAsia="宋体"/>
                <w:szCs w:val="24"/>
                <w:lang w:val="en-US" w:eastAsia="zh-CN"/>
              </w:rPr>
            </w:pPr>
            <w:r>
              <w:rPr>
                <w:rFonts w:hint="eastAsia"/>
                <w:szCs w:val="24"/>
                <w:lang w:val="en-US" w:eastAsia="zh-CN"/>
              </w:rPr>
              <w:t>2</w:t>
            </w:r>
          </w:p>
        </w:tc>
        <w:tc>
          <w:tcPr>
            <w:tcW w:w="1455" w:type="dxa"/>
            <w:vAlign w:val="center"/>
          </w:tcPr>
          <w:p>
            <w:pPr>
              <w:keepNext w:val="0"/>
              <w:keepLines w:val="0"/>
              <w:pageBreakBefore w:val="0"/>
              <w:kinsoku/>
              <w:wordWrap/>
              <w:overflowPunct/>
              <w:topLinePunct w:val="0"/>
              <w:autoSpaceDE/>
              <w:autoSpaceDN/>
              <w:bidi w:val="0"/>
              <w:adjustRightInd/>
              <w:snapToGrid/>
              <w:spacing w:line="120" w:lineRule="auto"/>
              <w:jc w:val="center"/>
              <w:outlineLvl w:val="9"/>
              <w:rPr>
                <w:rFonts w:hint="eastAsia" w:eastAsia="宋体"/>
                <w:szCs w:val="24"/>
                <w:lang w:val="en-US" w:eastAsia="zh-CN"/>
              </w:rPr>
            </w:pPr>
            <w:r>
              <w:rPr>
                <w:rFonts w:hint="eastAsia"/>
                <w:szCs w:val="24"/>
                <w:lang w:val="en-US" w:eastAsia="zh-CN"/>
              </w:rPr>
              <w:t>650</w:t>
            </w:r>
          </w:p>
        </w:tc>
        <w:tc>
          <w:tcPr>
            <w:tcW w:w="1170" w:type="dxa"/>
            <w:vAlign w:val="center"/>
          </w:tcPr>
          <w:p>
            <w:pPr>
              <w:keepNext w:val="0"/>
              <w:keepLines w:val="0"/>
              <w:pageBreakBefore w:val="0"/>
              <w:kinsoku/>
              <w:wordWrap/>
              <w:overflowPunct/>
              <w:topLinePunct w:val="0"/>
              <w:autoSpaceDE/>
              <w:autoSpaceDN/>
              <w:bidi w:val="0"/>
              <w:adjustRightInd/>
              <w:snapToGrid/>
              <w:spacing w:line="120" w:lineRule="auto"/>
              <w:jc w:val="center"/>
              <w:outlineLvl w:val="9"/>
              <w:rPr>
                <w:rFonts w:hint="eastAsia" w:eastAsia="宋体"/>
                <w:szCs w:val="24"/>
                <w:lang w:val="en-US" w:eastAsia="zh-CN"/>
              </w:rPr>
            </w:pPr>
            <w:r>
              <w:rPr>
                <w:rFonts w:hint="eastAsia"/>
                <w:szCs w:val="24"/>
                <w:lang w:val="en-US" w:eastAsia="zh-CN"/>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trPr>
        <w:tc>
          <w:tcPr>
            <w:tcW w:w="595" w:type="dxa"/>
            <w:vAlign w:val="center"/>
          </w:tcPr>
          <w:p>
            <w:pPr>
              <w:jc w:val="center"/>
              <w:rPr>
                <w:rFonts w:hint="eastAsia"/>
                <w:szCs w:val="24"/>
              </w:rPr>
            </w:pPr>
          </w:p>
        </w:tc>
        <w:tc>
          <w:tcPr>
            <w:tcW w:w="2617" w:type="dxa"/>
            <w:vAlign w:val="center"/>
          </w:tcPr>
          <w:p>
            <w:pPr>
              <w:keepNext w:val="0"/>
              <w:keepLines w:val="0"/>
              <w:widowControl/>
              <w:suppressLineNumbers w:val="0"/>
              <w:jc w:val="center"/>
              <w:textAlignment w:val="center"/>
              <w:rPr>
                <w:szCs w:val="24"/>
              </w:rPr>
            </w:pPr>
          </w:p>
        </w:tc>
        <w:tc>
          <w:tcPr>
            <w:tcW w:w="7834" w:type="dxa"/>
            <w:vAlign w:val="center"/>
          </w:tcPr>
          <w:p>
            <w:pPr>
              <w:jc w:val="center"/>
              <w:rPr>
                <w:szCs w:val="24"/>
              </w:rPr>
            </w:pPr>
          </w:p>
        </w:tc>
        <w:tc>
          <w:tcPr>
            <w:tcW w:w="705" w:type="dxa"/>
            <w:vAlign w:val="center"/>
          </w:tcPr>
          <w:p>
            <w:pPr>
              <w:jc w:val="center"/>
              <w:rPr>
                <w:rFonts w:hint="eastAsia" w:eastAsia="宋体"/>
                <w:szCs w:val="24"/>
                <w:lang w:val="en-US" w:eastAsia="zh-CN"/>
              </w:rPr>
            </w:pPr>
          </w:p>
        </w:tc>
        <w:tc>
          <w:tcPr>
            <w:tcW w:w="1455" w:type="dxa"/>
            <w:vAlign w:val="center"/>
          </w:tcPr>
          <w:p>
            <w:pPr>
              <w:jc w:val="center"/>
              <w:rPr>
                <w:rFonts w:hint="eastAsia" w:eastAsia="宋体"/>
                <w:szCs w:val="24"/>
                <w:lang w:val="en-US" w:eastAsia="zh-CN"/>
              </w:rPr>
            </w:pPr>
            <w:r>
              <w:rPr>
                <w:rFonts w:hint="eastAsia" w:ascii="宋体" w:hAnsi="宋体" w:eastAsia="宋体" w:cs="宋体"/>
                <w:i w:val="0"/>
                <w:color w:val="000000"/>
                <w:kern w:val="0"/>
                <w:sz w:val="20"/>
                <w:szCs w:val="20"/>
                <w:u w:val="none"/>
                <w:lang w:val="en-US" w:eastAsia="zh-CN" w:bidi="ar"/>
              </w:rPr>
              <w:t>合计</w:t>
            </w:r>
          </w:p>
        </w:tc>
        <w:tc>
          <w:tcPr>
            <w:tcW w:w="1170" w:type="dxa"/>
            <w:vAlign w:val="center"/>
          </w:tcPr>
          <w:p>
            <w:pPr>
              <w:jc w:val="center"/>
              <w:rPr>
                <w:rFonts w:hint="eastAsia" w:eastAsia="宋体"/>
                <w:szCs w:val="24"/>
                <w:lang w:val="en-US" w:eastAsia="zh-CN"/>
              </w:rPr>
            </w:pPr>
            <w:r>
              <w:rPr>
                <w:rFonts w:hint="eastAsia"/>
                <w:szCs w:val="24"/>
                <w:lang w:val="en-US" w:eastAsia="zh-CN"/>
              </w:rPr>
              <w:t>22985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14376" w:type="dxa"/>
            <w:gridSpan w:val="6"/>
            <w:vAlign w:val="center"/>
          </w:tcPr>
          <w:p>
            <w:pPr>
              <w:keepNext w:val="0"/>
              <w:keepLines w:val="0"/>
              <w:widowControl/>
              <w:suppressLineNumbers w:val="0"/>
              <w:spacing w:before="0" w:beforeAutospacing="0" w:after="0" w:afterAutospacing="0"/>
              <w:ind w:left="0" w:leftChars="0" w:right="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备注：</w:t>
            </w:r>
          </w:p>
          <w:p>
            <w:pPr>
              <w:keepNext w:val="0"/>
              <w:keepLines w:val="0"/>
              <w:widowControl/>
              <w:suppressLineNumbers w:val="0"/>
              <w:spacing w:before="0" w:beforeAutospacing="0" w:after="0" w:afterAutospacing="0"/>
              <w:ind w:left="0" w:leftChars="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1.以上费用含施工费、含装卸费、含到施工场地运输费、含增值税普票。</w:t>
            </w:r>
          </w:p>
          <w:p>
            <w:pPr>
              <w:keepNext w:val="0"/>
              <w:keepLines w:val="0"/>
              <w:widowControl/>
              <w:numPr>
                <w:ilvl w:val="0"/>
                <w:numId w:val="0"/>
              </w:numPr>
              <w:suppressLineNumbers w:val="0"/>
              <w:spacing w:before="0" w:beforeAutospacing="0" w:after="0" w:afterAutospacing="0"/>
              <w:ind w:right="0"/>
              <w:jc w:val="left"/>
              <w:rPr>
                <w:rFonts w:hint="eastAsia" w:ascii="Calibri" w:hAnsi="Calibri" w:eastAsia="宋体" w:cs="宋体"/>
                <w:kern w:val="2"/>
                <w:sz w:val="21"/>
                <w:szCs w:val="21"/>
              </w:rPr>
            </w:pPr>
            <w:r>
              <w:rPr>
                <w:rFonts w:hint="eastAsia" w:ascii="Calibri" w:hAnsi="Calibri" w:eastAsia="宋体" w:cs="宋体"/>
                <w:kern w:val="2"/>
                <w:sz w:val="21"/>
                <w:szCs w:val="21"/>
                <w:lang w:val="en-US" w:eastAsia="zh-CN" w:bidi="ar"/>
              </w:rPr>
              <w:t>2. 提供的货物必须符合国家相关安全、环保标准、行业标准。</w:t>
            </w:r>
          </w:p>
          <w:p>
            <w:pPr>
              <w:tabs>
                <w:tab w:val="left" w:pos="3287"/>
              </w:tabs>
              <w:jc w:val="left"/>
              <w:rPr>
                <w:rFonts w:hint="eastAsia"/>
                <w:szCs w:val="24"/>
                <w:lang w:val="en-US" w:eastAsia="zh-CN"/>
              </w:rPr>
            </w:pPr>
            <w:r>
              <w:rPr>
                <w:rFonts w:hint="eastAsia" w:ascii="Calibri" w:hAnsi="Calibri" w:eastAsia="宋体" w:cs="宋体"/>
                <w:kern w:val="2"/>
                <w:sz w:val="21"/>
                <w:szCs w:val="21"/>
                <w:lang w:val="en-US" w:eastAsia="zh-CN" w:bidi="ar"/>
              </w:rPr>
              <w:t>3. 报价超过采购控制价，投标无效。</w:t>
            </w:r>
          </w:p>
        </w:tc>
      </w:tr>
      <w:bookmarkEnd w:id="1"/>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left="0" w:right="0" w:firstLine="0"/>
        <w:jc w:val="center"/>
        <w:textAlignment w:val="baseline"/>
        <w:rPr>
          <w:rFonts w:hint="eastAsia" w:ascii="宋体" w:hAnsi="宋体" w:eastAsia="宋体" w:cs="宋体"/>
          <w:i w:val="0"/>
          <w:caps w:val="0"/>
          <w:color w:val="000000"/>
          <w:spacing w:val="0"/>
          <w:sz w:val="28"/>
          <w:szCs w:val="28"/>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rPr>
          <w:rFonts w:hint="eastAsia" w:cs="宋体"/>
          <w:i w:val="0"/>
          <w:caps w:val="0"/>
          <w:color w:val="000000"/>
          <w:spacing w:val="0"/>
          <w:sz w:val="28"/>
          <w:szCs w:val="28"/>
          <w:vertAlign w:val="baseline"/>
          <w:lang w:eastAsia="zh-CN"/>
        </w:rPr>
      </w:pPr>
    </w:p>
    <w:p>
      <w:pPr>
        <w:rPr>
          <w:rFonts w:hint="eastAsia" w:cs="宋体"/>
          <w:i w:val="0"/>
          <w:caps w:val="0"/>
          <w:color w:val="000000"/>
          <w:spacing w:val="0"/>
          <w:sz w:val="28"/>
          <w:szCs w:val="28"/>
          <w:vertAlign w:val="baseline"/>
          <w:lang w:eastAsia="zh-CN"/>
        </w:rPr>
      </w:pPr>
    </w:p>
    <w:p>
      <w:pPr>
        <w:rPr>
          <w:rFonts w:hint="eastAsia" w:cs="宋体"/>
          <w:i w:val="0"/>
          <w:caps w:val="0"/>
          <w:color w:val="000000"/>
          <w:spacing w:val="0"/>
          <w:sz w:val="28"/>
          <w:szCs w:val="28"/>
          <w:vertAlign w:val="baseline"/>
          <w:lang w:eastAsia="zh-CN"/>
        </w:rPr>
      </w:pPr>
      <w:bookmarkStart w:id="2" w:name="_GoBack"/>
      <w:bookmarkEnd w:id="2"/>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10"/>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550"/>
        <w:gridCol w:w="9300"/>
        <w:gridCol w:w="2387"/>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550"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9300"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2387"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931" w:hRule="atLeast"/>
        </w:trPr>
        <w:tc>
          <w:tcPr>
            <w:tcW w:w="490" w:type="dxa"/>
            <w:shd w:val="clear" w:color="auto" w:fill="auto"/>
            <w:vAlign w:val="center"/>
          </w:tcPr>
          <w:p>
            <w:pPr>
              <w:spacing w:line="240" w:lineRule="atLeast"/>
              <w:jc w:val="both"/>
              <w:rPr>
                <w:szCs w:val="24"/>
              </w:rPr>
            </w:pPr>
            <w:r>
              <w:rPr>
                <w:rFonts w:hint="eastAsia"/>
                <w:szCs w:val="24"/>
              </w:rPr>
              <w:t>1</w:t>
            </w:r>
          </w:p>
        </w:tc>
        <w:tc>
          <w:tcPr>
            <w:tcW w:w="1550" w:type="dxa"/>
            <w:shd w:val="clear" w:color="auto" w:fill="FFFFFF"/>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人员特写摄像机</w:t>
            </w:r>
          </w:p>
        </w:tc>
        <w:tc>
          <w:tcPr>
            <w:tcW w:w="9300" w:type="dxa"/>
            <w:vAlign w:val="center"/>
          </w:tcPr>
          <w:p>
            <w:pPr>
              <w:spacing w:line="240" w:lineRule="auto"/>
              <w:jc w:val="left"/>
              <w:rPr>
                <w:rFonts w:hint="eastAsia" w:ascii="宋体" w:hAnsi="宋体"/>
                <w:sz w:val="21"/>
                <w:szCs w:val="21"/>
                <w:lang w:val="en-US" w:eastAsia="zh-CN"/>
              </w:rPr>
            </w:pPr>
            <w:r>
              <w:rPr>
                <w:rFonts w:hint="eastAsia" w:ascii="宋体" w:hAnsi="宋体" w:eastAsia="宋体" w:cs="宋体"/>
                <w:i w:val="0"/>
                <w:color w:val="000000"/>
                <w:kern w:val="0"/>
                <w:sz w:val="20"/>
                <w:szCs w:val="20"/>
                <w:u w:val="none"/>
                <w:lang w:val="en-US" w:eastAsia="zh-CN" w:bidi="ar"/>
              </w:rPr>
              <w:t>传感器：1/2.7英寸CMOS；电动变焦2.7-13.5mm；主码流(2560×1440@25fps)、辅码流(704×576@25fps)、第三码流(704×576@3fps)；照度：0.002Lux(彩色模式)；0.0002Lux(黑白模式)；支持H.265、H.264编码；支持120dB宽动态、3D降噪、强光抑制、背光补偿、三码流、走廊模式等功能；支持区域入侵、绊线入侵、物品遗留、物品搬移、场景变更、徘徊检测、人员聚集、快速移动、非法停车、虚焦侦测、人脸检测等智能分析功能；最大红外距离60米；接口：1个10/100M以太网口、内置MIC；工作温度： -40℃~+60℃；电源：DC12V/POE；防护等级：IP67、IK10；</w:t>
            </w: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1" w:hRule="atLeast"/>
        </w:trPr>
        <w:tc>
          <w:tcPr>
            <w:tcW w:w="490" w:type="dxa"/>
            <w:shd w:val="clear" w:color="auto" w:fill="auto"/>
            <w:vAlign w:val="center"/>
          </w:tcPr>
          <w:p>
            <w:pPr>
              <w:spacing w:line="240" w:lineRule="atLeast"/>
              <w:jc w:val="both"/>
              <w:rPr>
                <w:rFonts w:hint="eastAsia" w:eastAsiaTheme="minorEastAsia"/>
                <w:szCs w:val="24"/>
                <w:lang w:val="en-US" w:eastAsia="zh-CN"/>
              </w:rPr>
            </w:pPr>
            <w:r>
              <w:rPr>
                <w:rFonts w:hint="eastAsia"/>
                <w:szCs w:val="24"/>
                <w:lang w:val="en-US" w:eastAsia="zh-CN"/>
              </w:rPr>
              <w:t>2</w:t>
            </w:r>
          </w:p>
        </w:tc>
        <w:tc>
          <w:tcPr>
            <w:tcW w:w="1550" w:type="dxa"/>
            <w:shd w:val="clear" w:color="auto" w:fill="FFFFFF"/>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全景摄像机</w:t>
            </w:r>
          </w:p>
        </w:tc>
        <w:tc>
          <w:tcPr>
            <w:tcW w:w="9300" w:type="dxa"/>
            <w:vAlign w:val="center"/>
          </w:tcPr>
          <w:p>
            <w:pPr>
              <w:spacing w:line="240" w:lineRule="exact"/>
              <w:jc w:val="left"/>
              <w:rPr>
                <w:rFonts w:hint="eastAsia" w:ascii="Times New Roman" w:hAnsi="Times New Roman"/>
                <w:szCs w:val="21"/>
                <w:vertAlign w:val="superscript"/>
                <w:lang w:val="en-US" w:eastAsia="zh-CN"/>
              </w:rPr>
            </w:pPr>
            <w:r>
              <w:rPr>
                <w:rFonts w:hint="eastAsia" w:ascii="宋体" w:hAnsi="宋体" w:eastAsia="宋体" w:cs="宋体"/>
                <w:i w:val="0"/>
                <w:color w:val="000000"/>
                <w:kern w:val="0"/>
                <w:sz w:val="20"/>
                <w:szCs w:val="20"/>
                <w:u w:val="none"/>
                <w:lang w:val="en-US" w:eastAsia="zh-CN" w:bidi="ar"/>
              </w:rPr>
              <w:t>传感器：1/2.8英寸CMOS、300W像素；主码流：主码流(2048×1536@25fps)、辅码流(704×576@25fps)、第三码流(1920×1080@25fps)；支持H.265/H.264编码；镜头：1.85mm定焦；支持水平:129.2°；垂直:102°；对角:141.3°超大视场角；支持120dB宽动态、3D降噪、强光抑制、背光补偿、三码流等功能；支持区域入侵、绊线入侵、物品遗留/消失、场景变更、徘徊检测、人员聚集、快速移动、非法停车、音频异常侦测、人脸检测、攀高检测、离岗检测、起身检测、外部报警、热度图等智能分析功能；音频接口：1路输入、1路输出、内置MIC；报警接口：2路输入、2路输出；1个10/100M以太网口；支持SD卡存储；电源：DC12/AC24V/POE；工作温度 -40℃~+60℃；防护等级：IP67、IK10</w:t>
            </w: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全景半球支架</w:t>
            </w:r>
          </w:p>
        </w:tc>
        <w:tc>
          <w:tcPr>
            <w:tcW w:w="9300" w:type="dxa"/>
            <w:vAlign w:val="center"/>
          </w:tcPr>
          <w:p>
            <w:pPr>
              <w:spacing w:line="240" w:lineRule="exact"/>
              <w:jc w:val="left"/>
              <w:rPr>
                <w:rFonts w:hint="eastAsia" w:ascii="Times New Roman" w:hAnsi="Times New Roman" w:eastAsia="宋体" w:cs="宋体"/>
                <w:kern w:val="2"/>
                <w:sz w:val="21"/>
                <w:szCs w:val="21"/>
                <w:lang w:val="en-US" w:eastAsia="zh-CN" w:bidi="ar"/>
              </w:rPr>
            </w:pPr>
            <w:r>
              <w:rPr>
                <w:rFonts w:hint="eastAsia" w:ascii="宋体" w:hAnsi="宋体" w:eastAsia="宋体" w:cs="宋体"/>
                <w:i w:val="0"/>
                <w:color w:val="000000"/>
                <w:kern w:val="0"/>
                <w:sz w:val="20"/>
                <w:szCs w:val="20"/>
                <w:u w:val="none"/>
                <w:lang w:val="en-US" w:eastAsia="zh-CN" w:bidi="ar"/>
              </w:rPr>
              <w:t>金属支架与摄像机匹配</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拾音器</w:t>
            </w:r>
          </w:p>
        </w:tc>
        <w:tc>
          <w:tcPr>
            <w:tcW w:w="9300" w:type="dxa"/>
            <w:vAlign w:val="center"/>
          </w:tcPr>
          <w:p>
            <w:pPr>
              <w:spacing w:line="240" w:lineRule="exact"/>
              <w:jc w:val="left"/>
              <w:rPr>
                <w:rFonts w:hint="eastAsia" w:ascii="宋体" w:hAnsi="宋体" w:eastAsia="宋体" w:cs="宋体"/>
                <w:i w:val="0"/>
                <w:color w:val="000000"/>
                <w:kern w:val="0"/>
                <w:sz w:val="20"/>
                <w:szCs w:val="20"/>
                <w:u w:val="none"/>
                <w:lang w:val="en-US" w:eastAsia="zh-CN" w:bidi="ar"/>
              </w:rPr>
            </w:pPr>
            <w:r>
              <w:rPr>
                <w:rFonts w:hint="default" w:ascii="宋体" w:hAnsi="宋体" w:eastAsia="宋体" w:cs="宋体"/>
                <w:i w:val="0"/>
                <w:color w:val="000000"/>
                <w:kern w:val="0"/>
                <w:sz w:val="20"/>
                <w:szCs w:val="20"/>
                <w:u w:val="none"/>
                <w:lang w:val="en-US" w:eastAsia="zh-CN" w:bidi="ar"/>
              </w:rPr>
              <w:t>拾音面积10平方米-35平方米</w:t>
            </w:r>
            <w:r>
              <w:rPr>
                <w:rFonts w:hint="eastAsia" w:ascii="宋体" w:hAnsi="宋体" w:eastAsia="宋体" w:cs="宋体"/>
                <w:i w:val="0"/>
                <w:color w:val="000000"/>
                <w:kern w:val="0"/>
                <w:sz w:val="20"/>
                <w:szCs w:val="20"/>
                <w:u w:val="none"/>
                <w:lang w:val="en-US" w:eastAsia="zh-CN" w:bidi="ar"/>
              </w:rPr>
              <w:t>，</w:t>
            </w:r>
            <w:r>
              <w:rPr>
                <w:rFonts w:hint="default" w:ascii="宋体" w:hAnsi="宋体" w:eastAsia="宋体" w:cs="宋体"/>
                <w:i w:val="0"/>
                <w:color w:val="000000"/>
                <w:kern w:val="0"/>
                <w:sz w:val="20"/>
                <w:szCs w:val="20"/>
                <w:u w:val="none"/>
                <w:lang w:val="en-US" w:eastAsia="zh-CN" w:bidi="ar"/>
              </w:rPr>
              <w:t>信号处理电路</w:t>
            </w:r>
            <w:r>
              <w:rPr>
                <w:rFonts w:hint="eastAsia" w:ascii="宋体" w:hAnsi="宋体" w:eastAsia="宋体" w:cs="宋体"/>
                <w:i w:val="0"/>
                <w:color w:val="000000"/>
                <w:kern w:val="0"/>
                <w:sz w:val="20"/>
                <w:szCs w:val="20"/>
                <w:u w:val="none"/>
                <w:lang w:val="en-US" w:eastAsia="zh-CN" w:bidi="ar"/>
              </w:rPr>
              <w:t>：</w:t>
            </w:r>
            <w:r>
              <w:rPr>
                <w:rFonts w:hint="default" w:ascii="宋体" w:hAnsi="宋体" w:eastAsia="宋体" w:cs="宋体"/>
                <w:i w:val="0"/>
                <w:color w:val="000000"/>
                <w:kern w:val="0"/>
                <w:sz w:val="20"/>
                <w:szCs w:val="20"/>
                <w:u w:val="none"/>
                <w:lang w:val="en-US" w:eastAsia="zh-CN" w:bidi="ar"/>
              </w:rPr>
              <w:t>数字降噪</w:t>
            </w:r>
          </w:p>
          <w:p>
            <w:pPr>
              <w:spacing w:line="240" w:lineRule="exact"/>
              <w:jc w:val="center"/>
              <w:rPr>
                <w:rFonts w:hint="eastAsia" w:ascii="Times New Roman" w:hAnsi="Times New Roman" w:eastAsia="宋体" w:cs="宋体"/>
                <w:kern w:val="2"/>
                <w:sz w:val="21"/>
                <w:szCs w:val="21"/>
                <w:lang w:val="en-US" w:eastAsia="zh-CN" w:bidi="ar"/>
              </w:rPr>
            </w:pP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网络交换机</w:t>
            </w:r>
          </w:p>
        </w:tc>
        <w:tc>
          <w:tcPr>
            <w:tcW w:w="9300" w:type="dxa"/>
            <w:vAlign w:val="center"/>
          </w:tcPr>
          <w:p>
            <w:pPr>
              <w:spacing w:line="240" w:lineRule="exact"/>
              <w:jc w:val="center"/>
              <w:rPr>
                <w:rFonts w:hint="eastAsia" w:ascii="Times New Roman" w:hAnsi="Times New Roman" w:eastAsia="宋体" w:cs="宋体"/>
                <w:kern w:val="2"/>
                <w:sz w:val="21"/>
                <w:szCs w:val="21"/>
                <w:lang w:val="en-US" w:eastAsia="zh-CN" w:bidi="ar"/>
              </w:rPr>
            </w:pPr>
            <w:r>
              <w:rPr>
                <w:rFonts w:hint="eastAsia" w:ascii="宋体" w:hAnsi="宋体" w:eastAsia="宋体" w:cs="宋体"/>
                <w:i w:val="0"/>
                <w:color w:val="000000"/>
                <w:kern w:val="0"/>
                <w:sz w:val="20"/>
                <w:szCs w:val="20"/>
                <w:u w:val="none"/>
                <w:lang w:val="en-US" w:eastAsia="zh-CN" w:bidi="ar"/>
              </w:rPr>
              <w:t>非网管二层百兆安防工业交换机，8* 10/100M，1*100/1000M RJ45电口，1*1000M SFP光口，工作温度：-40-75°，DC12V\1A</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网络硬盘录像机</w:t>
            </w:r>
          </w:p>
        </w:tc>
        <w:tc>
          <w:tcPr>
            <w:tcW w:w="9300" w:type="dxa"/>
            <w:vAlign w:val="center"/>
          </w:tcPr>
          <w:p>
            <w:pPr>
              <w:spacing w:line="240" w:lineRule="exact"/>
              <w:jc w:val="center"/>
              <w:rPr>
                <w:rFonts w:hint="eastAsia" w:ascii="Times New Roman" w:hAnsi="Times New Roman" w:eastAsia="宋体" w:cs="宋体"/>
                <w:kern w:val="2"/>
                <w:sz w:val="21"/>
                <w:szCs w:val="21"/>
                <w:lang w:val="en-US" w:eastAsia="zh-CN" w:bidi="ar"/>
              </w:rPr>
            </w:pPr>
            <w:r>
              <w:rPr>
                <w:rFonts w:hint="eastAsia" w:ascii="宋体" w:hAnsi="宋体" w:eastAsia="宋体" w:cs="宋体"/>
                <w:i w:val="0"/>
                <w:color w:val="000000"/>
                <w:kern w:val="0"/>
                <w:sz w:val="20"/>
                <w:szCs w:val="20"/>
                <w:u w:val="none"/>
                <w:lang w:val="en-US" w:eastAsia="zh-CN" w:bidi="ar"/>
              </w:rPr>
              <w:t>工业级嵌入式微控制器；嵌入式Linux实时操作系统；网络协议IPv4、IPv6、HTTP、UPnP、NTP、SADP、SNMP、PPPoE、DNS、FTP、ONVIF（支持2.4版本）、PSIA；前智能支持；后智能不支持；网络带宽接入320Mbps,储存320Mbps,转发320Mbps；网络视频接入32路；IPC分辨率12M/4K/6M/5M/4M/3M/1080P/1.3M/720P；解码能力2×12M/4×4K/6×5M/8×4M/11×3M/16×1080P/32×720P；2路VGA输出，2路HDMI输出，支持VGA1和HDMI 1同源输出，双HDMI 异源输出；最大支持16路回放；视频压缩标准Smart H.265/Smart H.264/H.265/H.264/MPEG4/MJPEG；8个内置SATA接口，单盘容量支持8T，可配置成单盘，支持Raid0、Raid1、Raid5、Raid6、Raid10、JBOD等各种数据保护模式；2个RJ45 10/100/1000Mbps自适应以太网口；2个前置USB2.0接口/2个后置USB3.0接口；1路，RCA支持IPC复合音频输入/2路，RCA支持语音对讲输出；报警接口16进6出；1个RS-232/1个RS-485；1个外置eSATA接口；1个电源接口，AC100～240V 50+2% Hz</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企业级硬盘</w:t>
            </w:r>
          </w:p>
        </w:tc>
        <w:tc>
          <w:tcPr>
            <w:tcW w:w="9300" w:type="dxa"/>
            <w:vAlign w:val="center"/>
          </w:tcPr>
          <w:p>
            <w:pPr>
              <w:keepNext w:val="0"/>
              <w:keepLines w:val="0"/>
              <w:widowControl/>
              <w:suppressLineNumbers w:val="0"/>
              <w:jc w:val="left"/>
              <w:textAlignment w:val="center"/>
              <w:rPr>
                <w:rFonts w:hint="eastAsia" w:ascii="Times New Roman" w:hAnsi="Times New Roman" w:eastAsia="宋体" w:cs="宋体"/>
                <w:kern w:val="2"/>
                <w:sz w:val="21"/>
                <w:szCs w:val="21"/>
                <w:lang w:val="en-US" w:eastAsia="zh-CN" w:bidi="ar"/>
              </w:rPr>
            </w:pPr>
            <w:r>
              <w:rPr>
                <w:rFonts w:hint="eastAsia" w:ascii="宋体" w:hAnsi="宋体" w:eastAsia="宋体" w:cs="宋体"/>
                <w:i w:val="0"/>
                <w:color w:val="000000"/>
                <w:kern w:val="0"/>
                <w:sz w:val="20"/>
                <w:szCs w:val="20"/>
                <w:u w:val="none"/>
                <w:lang w:val="en-US" w:eastAsia="zh-CN" w:bidi="ar"/>
              </w:rPr>
              <w:t>ST4000NM0025</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摄像机电源</w:t>
            </w:r>
          </w:p>
        </w:tc>
        <w:tc>
          <w:tcPr>
            <w:tcW w:w="9300" w:type="dxa"/>
            <w:vAlign w:val="center"/>
          </w:tcPr>
          <w:p>
            <w:pPr>
              <w:keepNext w:val="0"/>
              <w:keepLines w:val="0"/>
              <w:widowControl/>
              <w:suppressLineNumbers w:val="0"/>
              <w:jc w:val="left"/>
              <w:textAlignment w:val="center"/>
              <w:rPr>
                <w:rFonts w:hint="eastAsia" w:ascii="Times New Roman" w:hAnsi="Times New Roman" w:eastAsia="宋体" w:cs="宋体"/>
                <w:kern w:val="2"/>
                <w:sz w:val="21"/>
                <w:szCs w:val="21"/>
                <w:lang w:val="en-US" w:eastAsia="zh-CN" w:bidi="ar"/>
              </w:rPr>
            </w:pPr>
            <w:r>
              <w:rPr>
                <w:rFonts w:hint="eastAsia" w:ascii="宋体" w:hAnsi="宋体" w:eastAsia="宋体" w:cs="宋体"/>
                <w:i w:val="0"/>
                <w:color w:val="000000"/>
                <w:kern w:val="0"/>
                <w:sz w:val="20"/>
                <w:szCs w:val="20"/>
                <w:u w:val="none"/>
                <w:lang w:val="en-US" w:eastAsia="zh-CN" w:bidi="ar"/>
              </w:rPr>
              <w:t xml:space="preserve">DC12V </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32寸监视器</w:t>
            </w:r>
          </w:p>
        </w:tc>
        <w:tc>
          <w:tcPr>
            <w:tcW w:w="9300" w:type="dxa"/>
            <w:vAlign w:val="center"/>
          </w:tcPr>
          <w:p>
            <w:pPr>
              <w:jc w:val="center"/>
              <w:rPr>
                <w:rFonts w:hint="eastAsia" w:ascii="Times New Roman" w:hAnsi="Times New Roman" w:eastAsia="宋体" w:cs="宋体"/>
                <w:kern w:val="2"/>
                <w:sz w:val="21"/>
                <w:szCs w:val="21"/>
                <w:lang w:val="en-US" w:eastAsia="zh-CN" w:bidi="ar"/>
              </w:rPr>
            </w:pPr>
            <w:r>
              <w:rPr>
                <w:rFonts w:hint="eastAsia" w:ascii="宋体" w:hAnsi="宋体" w:eastAsia="宋体" w:cs="宋体"/>
                <w:i w:val="0"/>
                <w:color w:val="000000"/>
                <w:kern w:val="0"/>
                <w:sz w:val="20"/>
                <w:szCs w:val="20"/>
                <w:u w:val="none"/>
                <w:lang w:val="en-US" w:eastAsia="zh-CN" w:bidi="ar"/>
              </w:rPr>
              <w:t>尺寸：32寸；屏幕比例：16:9；材质：金属；背光：LED；分辨率：1920*1080；亮度：350cd/m2；对比度：1200:1；遥控方式：按键控制；安装方式：底座/壁挂；底座选配，壁挂支架选配</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壁挂支架</w:t>
            </w:r>
          </w:p>
        </w:tc>
        <w:tc>
          <w:tcPr>
            <w:tcW w:w="9300" w:type="dxa"/>
            <w:vAlign w:val="center"/>
          </w:tcPr>
          <w:p>
            <w:pPr>
              <w:ind w:firstLine="2730" w:firstLineChars="1300"/>
              <w:rPr>
                <w:rFonts w:hint="eastAsia" w:ascii="Times New Roman" w:hAnsi="Times New Roman" w:eastAsia="宋体" w:cs="宋体"/>
                <w:kern w:val="2"/>
                <w:sz w:val="21"/>
                <w:szCs w:val="21"/>
                <w:lang w:val="en-US" w:eastAsia="zh-CN" w:bidi="ar"/>
              </w:rPr>
            </w:pP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outlineLvl w:val="9"/>
              <w:rPr>
                <w:rFonts w:hint="eastAsia"/>
                <w:b/>
                <w:bCs/>
                <w:szCs w:val="21"/>
              </w:rPr>
            </w:pPr>
            <w:r>
              <w:rPr>
                <w:rFonts w:hint="eastAsia" w:ascii="宋体" w:hAnsi="宋体" w:eastAsia="宋体" w:cs="宋体"/>
                <w:i w:val="0"/>
                <w:color w:val="000000"/>
                <w:kern w:val="0"/>
                <w:sz w:val="20"/>
                <w:szCs w:val="20"/>
                <w:u w:val="none"/>
                <w:lang w:val="en-US" w:eastAsia="zh-CN" w:bidi="ar"/>
              </w:rPr>
              <w:t>无线对讲机</w:t>
            </w:r>
          </w:p>
        </w:tc>
        <w:tc>
          <w:tcPr>
            <w:tcW w:w="9300" w:type="dxa"/>
            <w:vAlign w:val="center"/>
          </w:tcPr>
          <w:p>
            <w:pPr>
              <w:keepNext w:val="0"/>
              <w:keepLines w:val="0"/>
              <w:pageBreakBefore w:val="0"/>
              <w:kinsoku/>
              <w:wordWrap/>
              <w:overflowPunct/>
              <w:topLinePunct w:val="0"/>
              <w:autoSpaceDE/>
              <w:autoSpaceDN/>
              <w:bidi w:val="0"/>
              <w:adjustRightInd/>
              <w:snapToGrid/>
              <w:spacing w:line="120" w:lineRule="auto"/>
              <w:jc w:val="center"/>
              <w:outlineLvl w:val="9"/>
              <w:rPr>
                <w:rFonts w:hint="eastAsia" w:ascii="宋体" w:hAnsi="宋体" w:eastAsia="宋体" w:cs="宋体"/>
                <w:i w:val="0"/>
                <w:color w:val="000000"/>
                <w:kern w:val="0"/>
                <w:sz w:val="20"/>
                <w:szCs w:val="20"/>
                <w:u w:val="none"/>
                <w:lang w:val="en-US" w:eastAsia="zh-CN" w:bidi="ar"/>
              </w:rPr>
            </w:pPr>
          </w:p>
          <w:p>
            <w:pPr>
              <w:keepNext w:val="0"/>
              <w:keepLines w:val="0"/>
              <w:pageBreakBefore w:val="0"/>
              <w:kinsoku/>
              <w:wordWrap/>
              <w:overflowPunct/>
              <w:topLinePunct w:val="0"/>
              <w:autoSpaceDE/>
              <w:autoSpaceDN/>
              <w:bidi w:val="0"/>
              <w:adjustRightInd/>
              <w:snapToGrid/>
              <w:spacing w:line="120" w:lineRule="auto"/>
              <w:jc w:val="both"/>
              <w:outlineLvl w:val="9"/>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电池容量：2001毫安时以上    制式：模拟对讲机</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120" w:lineRule="auto"/>
              <w:ind w:left="0" w:right="0" w:hanging="360"/>
              <w:outlineLvl w:val="9"/>
            </w:pPr>
          </w:p>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outlineLvl w:val="9"/>
              <w:rPr>
                <w:rFonts w:hint="eastAsia" w:ascii="Times New Roman" w:hAnsi="Times New Roman" w:eastAsia="宋体" w:cs="宋体"/>
                <w:kern w:val="2"/>
                <w:sz w:val="21"/>
                <w:szCs w:val="21"/>
                <w:lang w:val="en-US" w:eastAsia="zh-CN" w:bidi="ar"/>
              </w:rPr>
            </w:pP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p>
        </w:tc>
        <w:tc>
          <w:tcPr>
            <w:tcW w:w="9300" w:type="dxa"/>
            <w:vAlign w:val="top"/>
          </w:tcPr>
          <w:p>
            <w:pPr>
              <w:numPr>
                <w:ilvl w:val="0"/>
                <w:numId w:val="0"/>
              </w:numPr>
              <w:ind w:leftChars="0"/>
              <w:rPr>
                <w:rFonts w:hint="eastAsia" w:ascii="Times New Roman" w:hAnsi="Times New Roman" w:eastAsia="宋体" w:cs="宋体"/>
                <w:kern w:val="2"/>
                <w:sz w:val="21"/>
                <w:szCs w:val="21"/>
                <w:lang w:val="en-US" w:eastAsia="zh-CN" w:bidi="ar"/>
              </w:rPr>
            </w:pP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9300" w:type="dxa"/>
            <w:vAlign w:val="top"/>
          </w:tcPr>
          <w:p>
            <w:pPr>
              <w:numPr>
                <w:ilvl w:val="0"/>
                <w:numId w:val="0"/>
              </w:numPr>
              <w:ind w:leftChars="0"/>
              <w:rPr>
                <w:rFonts w:hint="eastAsia" w:ascii="Times New Roman" w:hAnsi="Times New Roman"/>
                <w:sz w:val="21"/>
                <w:szCs w:val="21"/>
                <w:lang w:eastAsia="zh-CN"/>
              </w:rPr>
            </w:pPr>
            <w:r>
              <w:rPr>
                <w:rFonts w:hint="eastAsia" w:ascii="Times New Roman" w:hAnsi="Times New Roman" w:eastAsia="宋体" w:cs="宋体"/>
                <w:kern w:val="2"/>
                <w:sz w:val="21"/>
                <w:szCs w:val="21"/>
                <w:lang w:val="en-US" w:eastAsia="zh-CN" w:bidi="ar"/>
              </w:rPr>
              <w:t>1</w:t>
            </w:r>
            <w:r>
              <w:rPr>
                <w:rFonts w:hint="eastAsia" w:ascii="宋体" w:hAnsi="宋体" w:eastAsia="宋体" w:cs="宋体"/>
                <w:kern w:val="2"/>
                <w:sz w:val="21"/>
                <w:szCs w:val="21"/>
                <w:lang w:val="en-US" w:eastAsia="zh-CN" w:bidi="ar"/>
              </w:rPr>
              <w:t>.免费提供上门安装和培训服务，</w:t>
            </w:r>
            <w:r>
              <w:rPr>
                <w:rFonts w:hint="eastAsia" w:ascii="Calibri" w:hAnsi="Calibri" w:eastAsia="宋体" w:cs="宋体"/>
                <w:kern w:val="2"/>
                <w:sz w:val="21"/>
                <w:szCs w:val="21"/>
                <w:lang w:val="en-US" w:eastAsia="zh-CN" w:bidi="ar"/>
              </w:rPr>
              <w:t>2</w:t>
            </w:r>
            <w:r>
              <w:rPr>
                <w:rFonts w:hint="eastAsia" w:ascii="宋体" w:hAnsi="宋体" w:eastAsia="宋体" w:cs="宋体"/>
                <w:kern w:val="2"/>
                <w:sz w:val="21"/>
                <w:szCs w:val="21"/>
                <w:lang w:val="en-US" w:eastAsia="zh-CN" w:bidi="ar"/>
              </w:rPr>
              <w:t>.</w:t>
            </w:r>
            <w:r>
              <w:rPr>
                <w:rFonts w:hint="eastAsia"/>
              </w:rPr>
              <w:t>保质期</w:t>
            </w:r>
            <w:r>
              <w:rPr>
                <w:rFonts w:hint="eastAsia"/>
                <w:lang w:val="en-US" w:eastAsia="zh-CN"/>
              </w:rPr>
              <w:t>1</w:t>
            </w:r>
            <w:r>
              <w:rPr>
                <w:rFonts w:hint="eastAsia"/>
              </w:rPr>
              <w:t>年，在保质期内供应商免费上门定期维护、保养、维修，损坏及时更换。</w:t>
            </w:r>
            <w:r>
              <w:rPr>
                <w:rFonts w:hint="eastAsia" w:ascii="Calibri" w:hAnsi="Calibri" w:eastAsia="宋体" w:cs="宋体"/>
                <w:kern w:val="2"/>
                <w:sz w:val="21"/>
                <w:szCs w:val="21"/>
                <w:lang w:val="en-US" w:eastAsia="zh-CN" w:bidi="ar"/>
              </w:rPr>
              <w:t>3</w:t>
            </w:r>
            <w:r>
              <w:rPr>
                <w:rFonts w:hint="eastAsia" w:eastAsia="宋体" w:cs="宋体"/>
                <w:kern w:val="2"/>
                <w:sz w:val="21"/>
                <w:szCs w:val="21"/>
                <w:lang w:val="en-US" w:eastAsia="zh-CN" w:bidi="ar"/>
              </w:rPr>
              <w:t>.</w:t>
            </w:r>
            <w:r>
              <w:rPr>
                <w:rFonts w:hint="eastAsia" w:ascii="宋体" w:hAnsi="宋体" w:eastAsia="宋体" w:cs="宋体"/>
                <w:kern w:val="2"/>
                <w:sz w:val="21"/>
                <w:szCs w:val="21"/>
                <w:lang w:val="en-US" w:eastAsia="zh-CN" w:bidi="ar"/>
              </w:rPr>
              <w:t>供货时间：合同签订之日起10日内。</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9300" w:type="dxa"/>
            <w:vAlign w:val="top"/>
          </w:tcPr>
          <w:p>
            <w:pPr>
              <w:pStyle w:val="16"/>
              <w:tabs>
                <w:tab w:val="left" w:pos="3438"/>
              </w:tabs>
              <w:adjustRightInd w:val="0"/>
              <w:snapToGrid w:val="0"/>
              <w:spacing w:line="400" w:lineRule="exact"/>
              <w:outlineLvl w:val="9"/>
              <w:rPr>
                <w:rFonts w:hint="eastAsia" w:ascii="宋体" w:hAnsi="宋体" w:eastAsia="宋体" w:cs="宋体"/>
                <w:kern w:val="2"/>
                <w:sz w:val="21"/>
                <w:szCs w:val="21"/>
                <w:lang w:val="en-US" w:eastAsia="zh-CN" w:bidi="ar"/>
              </w:rPr>
            </w:pPr>
            <w:r>
              <w:rPr>
                <w:rFonts w:hint="eastAsia" w:hAnsi="宋体" w:eastAsia="宋体" w:cs="宋体"/>
                <w:b/>
                <w:bCs/>
                <w:color w:val="000000"/>
                <w:kern w:val="2"/>
                <w:sz w:val="24"/>
                <w:szCs w:val="24"/>
                <w:lang w:val="en-US" w:eastAsia="zh-CN" w:bidi="ar"/>
              </w:rPr>
              <w:t>合同货款：</w:t>
            </w:r>
            <w:r>
              <w:rPr>
                <w:rFonts w:hint="eastAsia" w:ascii="宋体" w:hAnsi="宋体" w:eastAsia="宋体" w:cs="宋体"/>
                <w:color w:val="000000"/>
                <w:kern w:val="2"/>
                <w:sz w:val="24"/>
                <w:szCs w:val="24"/>
                <w:lang w:val="en-US" w:eastAsia="zh-CN" w:bidi="ar"/>
              </w:rPr>
              <w:t>送</w:t>
            </w:r>
            <w:r>
              <w:rPr>
                <w:rFonts w:hint="eastAsia" w:ascii="宋体" w:hAnsi="宋体" w:eastAsia="宋体" w:cs="宋体"/>
                <w:kern w:val="2"/>
                <w:sz w:val="21"/>
                <w:szCs w:val="21"/>
                <w:lang w:val="en-US" w:eastAsia="zh-CN" w:bidi="ar"/>
              </w:rPr>
              <w:t>货并安装完毕及验收合格后，中标人须向采购人提供全额正规含税发票，采购人通过银行转账方式付清全款。</w:t>
            </w:r>
          </w:p>
          <w:p>
            <w:pPr>
              <w:numPr>
                <w:ilvl w:val="0"/>
                <w:numId w:val="0"/>
              </w:numPr>
              <w:rPr>
                <w:rFonts w:hint="eastAsia" w:ascii="宋体" w:hAnsi="宋体" w:eastAsia="宋体" w:cs="宋体"/>
                <w:kern w:val="2"/>
                <w:sz w:val="21"/>
                <w:szCs w:val="21"/>
                <w:lang w:val="en-US" w:eastAsia="zh-CN" w:bidi="ar"/>
              </w:rPr>
            </w:pPr>
            <w:r>
              <w:rPr>
                <w:rFonts w:hint="eastAsia" w:ascii="宋体" w:hAnsi="宋体" w:eastAsia="宋体" w:cs="宋体"/>
                <w:b/>
                <w:color w:val="000000"/>
                <w:kern w:val="2"/>
                <w:sz w:val="24"/>
                <w:szCs w:val="24"/>
                <w:lang w:val="en-US" w:eastAsia="zh-CN" w:bidi="ar"/>
              </w:rPr>
              <w:t>履约保证金：</w:t>
            </w:r>
            <w:r>
              <w:rPr>
                <w:rFonts w:hint="eastAsia" w:ascii="宋体" w:hAnsi="宋体" w:eastAsia="宋体" w:cs="宋体"/>
                <w:kern w:val="2"/>
                <w:sz w:val="21"/>
                <w:szCs w:val="21"/>
                <w:lang w:val="en-US" w:eastAsia="zh-CN" w:bidi="ar"/>
              </w:rPr>
              <w:t>是否收取履约保证金：是。履约保证金百分比：5%。说明：中标人在签订政府采购合同三日前应向采购人缴纳合同总金额5%的履约保证金，该履约保证金于设备验收合格后自动转为质量保证金；验收合格之日起至免费质保期满，中标人无违约行为且设备无质量问题，中标人向采购人提交退还质量保证金申请报告及收据后，采购人于30日内无息对公转账至合同标明的中标人银行账户。履约保证金缴交方式：银行转账,户名：福建卫生职业技术学院,账号：35001896307050001329.开户行：中国建设银行股份有限公司福州鼓楼支行。</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10"/>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40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406"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eastAsia="宋体"/>
                <w:szCs w:val="24"/>
                <w:lang w:val="en-US" w:eastAsia="zh-CN"/>
              </w:rPr>
              <w:t xml:space="preserve"> </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w:t>
            </w:r>
          </w:p>
        </w:tc>
        <w:tc>
          <w:tcPr>
            <w:tcW w:w="1406"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w:t>
            </w:r>
          </w:p>
        </w:tc>
        <w:tc>
          <w:tcPr>
            <w:tcW w:w="2227" w:type="dxa"/>
            <w:shd w:val="clear" w:color="auto" w:fill="FFFFFF"/>
            <w:vAlign w:val="center"/>
          </w:tcPr>
          <w:p>
            <w:pPr>
              <w:spacing w:line="240" w:lineRule="exac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1406" w:type="dxa"/>
            <w:vAlign w:val="center"/>
          </w:tcPr>
          <w:p>
            <w:pPr>
              <w:spacing w:line="240" w:lineRule="atLeast"/>
              <w:jc w:val="left"/>
              <w:rPr>
                <w:rFonts w:hint="eastAsia" w:ascii="宋体" w:hAnsi="宋体" w:cs="宋体"/>
                <w:bCs/>
                <w:kern w:val="36"/>
                <w:szCs w:val="21"/>
                <w:lang w:val="en-US" w:eastAsia="zh-CN"/>
              </w:rPr>
            </w:pP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4.</w:t>
      </w:r>
      <w:r>
        <w:rPr>
          <w:rFonts w:hint="eastAsia" w:ascii="宋体" w:hAnsi="宋体" w:eastAsia="宋体" w:cs="宋体"/>
          <w:b/>
          <w:bCs/>
          <w:color w:val="444444"/>
          <w:kern w:val="0"/>
          <w:sz w:val="21"/>
          <w:szCs w:val="21"/>
          <w:lang w:eastAsia="zh-CN"/>
        </w:rPr>
        <w:t>以上费用含施工费、含装卸费、含到施工场地运输费、含增值税普票。</w:t>
      </w: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w:t>
      </w:r>
      <w:r>
        <w:rPr>
          <w:rFonts w:hint="eastAsia" w:ascii="宋体" w:hAnsi="宋体" w:eastAsia="宋体" w:cs="宋体"/>
          <w:color w:val="FF0000"/>
          <w:kern w:val="0"/>
          <w:szCs w:val="21"/>
          <w:lang w:val="en-US" w:eastAsia="zh-CN"/>
        </w:rPr>
        <w:t>XXXXXX</w:t>
      </w:r>
      <w:r>
        <w:rPr>
          <w:rFonts w:hint="eastAsia" w:ascii="宋体" w:hAnsi="宋体" w:eastAsia="宋体" w:cs="宋体"/>
          <w:kern w:val="0"/>
          <w:szCs w:val="21"/>
        </w:rPr>
        <w:t>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354357"/>
    <w:multiLevelType w:val="multilevel"/>
    <w:tmpl w:val="E235435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1446279"/>
    <w:rsid w:val="02043FCF"/>
    <w:rsid w:val="024E258E"/>
    <w:rsid w:val="02CE3CE3"/>
    <w:rsid w:val="02EC034B"/>
    <w:rsid w:val="03837B83"/>
    <w:rsid w:val="03BE128D"/>
    <w:rsid w:val="04686E69"/>
    <w:rsid w:val="048A3EFA"/>
    <w:rsid w:val="075C3809"/>
    <w:rsid w:val="077B1C63"/>
    <w:rsid w:val="08FE0A90"/>
    <w:rsid w:val="0BAE6E41"/>
    <w:rsid w:val="0BEC35F6"/>
    <w:rsid w:val="0BF875A1"/>
    <w:rsid w:val="0C3A749E"/>
    <w:rsid w:val="0C4C7F8B"/>
    <w:rsid w:val="0D5E549B"/>
    <w:rsid w:val="0DCA1566"/>
    <w:rsid w:val="0E416513"/>
    <w:rsid w:val="0E537B47"/>
    <w:rsid w:val="0FF06B03"/>
    <w:rsid w:val="112C7FDD"/>
    <w:rsid w:val="11A46471"/>
    <w:rsid w:val="129A1F23"/>
    <w:rsid w:val="13E41DD4"/>
    <w:rsid w:val="14AF0F61"/>
    <w:rsid w:val="15583548"/>
    <w:rsid w:val="15F60B85"/>
    <w:rsid w:val="166A47DF"/>
    <w:rsid w:val="16AD613F"/>
    <w:rsid w:val="180145C5"/>
    <w:rsid w:val="18491034"/>
    <w:rsid w:val="189A257A"/>
    <w:rsid w:val="19452A3C"/>
    <w:rsid w:val="195A4546"/>
    <w:rsid w:val="197628A4"/>
    <w:rsid w:val="19F33F76"/>
    <w:rsid w:val="1A347C37"/>
    <w:rsid w:val="1B7056EB"/>
    <w:rsid w:val="1B7B7807"/>
    <w:rsid w:val="1BAB54AC"/>
    <w:rsid w:val="1BF666A7"/>
    <w:rsid w:val="1C7D2B99"/>
    <w:rsid w:val="1CCE40B8"/>
    <w:rsid w:val="1D293B6D"/>
    <w:rsid w:val="1D3C473A"/>
    <w:rsid w:val="1E161604"/>
    <w:rsid w:val="1E1957DB"/>
    <w:rsid w:val="1EC9096B"/>
    <w:rsid w:val="1ED8629B"/>
    <w:rsid w:val="1FC828A4"/>
    <w:rsid w:val="212360FB"/>
    <w:rsid w:val="21B94AA3"/>
    <w:rsid w:val="21F541B0"/>
    <w:rsid w:val="22245844"/>
    <w:rsid w:val="244C6003"/>
    <w:rsid w:val="2554468F"/>
    <w:rsid w:val="256C64BF"/>
    <w:rsid w:val="25B32FB5"/>
    <w:rsid w:val="26AC258B"/>
    <w:rsid w:val="26D14F47"/>
    <w:rsid w:val="277213F8"/>
    <w:rsid w:val="28796EC5"/>
    <w:rsid w:val="288621D9"/>
    <w:rsid w:val="28E8281A"/>
    <w:rsid w:val="29B328FB"/>
    <w:rsid w:val="29CB4FB8"/>
    <w:rsid w:val="29EC39E8"/>
    <w:rsid w:val="2A1A16EB"/>
    <w:rsid w:val="2AEB7A4C"/>
    <w:rsid w:val="2B4112A4"/>
    <w:rsid w:val="2B480659"/>
    <w:rsid w:val="2C0815D1"/>
    <w:rsid w:val="2E6A72D7"/>
    <w:rsid w:val="30123D8F"/>
    <w:rsid w:val="319A1D3F"/>
    <w:rsid w:val="31F82ADC"/>
    <w:rsid w:val="325241F7"/>
    <w:rsid w:val="32F4687C"/>
    <w:rsid w:val="33806566"/>
    <w:rsid w:val="33B34D30"/>
    <w:rsid w:val="343A30A6"/>
    <w:rsid w:val="34BB1BD4"/>
    <w:rsid w:val="34FB094B"/>
    <w:rsid w:val="366E11ED"/>
    <w:rsid w:val="36CC298D"/>
    <w:rsid w:val="37A334E6"/>
    <w:rsid w:val="38274C0F"/>
    <w:rsid w:val="38393E34"/>
    <w:rsid w:val="384A3254"/>
    <w:rsid w:val="38702123"/>
    <w:rsid w:val="395C1069"/>
    <w:rsid w:val="3B822710"/>
    <w:rsid w:val="3C345715"/>
    <w:rsid w:val="3C8C5FE4"/>
    <w:rsid w:val="3DD36A73"/>
    <w:rsid w:val="3E134C87"/>
    <w:rsid w:val="3E6F1FA6"/>
    <w:rsid w:val="3EAE2061"/>
    <w:rsid w:val="3F0D1FA4"/>
    <w:rsid w:val="3F252173"/>
    <w:rsid w:val="421A7168"/>
    <w:rsid w:val="437816B0"/>
    <w:rsid w:val="44173AE6"/>
    <w:rsid w:val="4500717D"/>
    <w:rsid w:val="462B6795"/>
    <w:rsid w:val="46EF0183"/>
    <w:rsid w:val="48D5715C"/>
    <w:rsid w:val="48F17334"/>
    <w:rsid w:val="48F3368E"/>
    <w:rsid w:val="494C0D39"/>
    <w:rsid w:val="49850959"/>
    <w:rsid w:val="49A10AFA"/>
    <w:rsid w:val="49CF6963"/>
    <w:rsid w:val="4A2C00BC"/>
    <w:rsid w:val="4A4461A6"/>
    <w:rsid w:val="4AE06FFA"/>
    <w:rsid w:val="4B8E78B8"/>
    <w:rsid w:val="4BC8308A"/>
    <w:rsid w:val="4BEF7875"/>
    <w:rsid w:val="4CB4349A"/>
    <w:rsid w:val="4DB37839"/>
    <w:rsid w:val="4E6D4DA5"/>
    <w:rsid w:val="4FC56086"/>
    <w:rsid w:val="50B46857"/>
    <w:rsid w:val="51C50B10"/>
    <w:rsid w:val="52E95B48"/>
    <w:rsid w:val="532C5605"/>
    <w:rsid w:val="535C288C"/>
    <w:rsid w:val="539B3A41"/>
    <w:rsid w:val="53BF7E2B"/>
    <w:rsid w:val="54806F8C"/>
    <w:rsid w:val="54C34438"/>
    <w:rsid w:val="550347C5"/>
    <w:rsid w:val="55111B2A"/>
    <w:rsid w:val="55194A10"/>
    <w:rsid w:val="560E6E69"/>
    <w:rsid w:val="56756547"/>
    <w:rsid w:val="57336DF5"/>
    <w:rsid w:val="573C1CC2"/>
    <w:rsid w:val="58666B1E"/>
    <w:rsid w:val="587777E3"/>
    <w:rsid w:val="58846FE7"/>
    <w:rsid w:val="58D273D4"/>
    <w:rsid w:val="5B3328C6"/>
    <w:rsid w:val="5B667C56"/>
    <w:rsid w:val="5B873C80"/>
    <w:rsid w:val="5C3F10CD"/>
    <w:rsid w:val="5C5315AD"/>
    <w:rsid w:val="5C6502EC"/>
    <w:rsid w:val="5CC8148D"/>
    <w:rsid w:val="5CDD2189"/>
    <w:rsid w:val="5D496B43"/>
    <w:rsid w:val="5D97099A"/>
    <w:rsid w:val="5FC82F44"/>
    <w:rsid w:val="60451E2C"/>
    <w:rsid w:val="610D763F"/>
    <w:rsid w:val="61126575"/>
    <w:rsid w:val="62CD0F8D"/>
    <w:rsid w:val="63B32525"/>
    <w:rsid w:val="63D42D01"/>
    <w:rsid w:val="64D44605"/>
    <w:rsid w:val="66E03C52"/>
    <w:rsid w:val="6706137C"/>
    <w:rsid w:val="673208DA"/>
    <w:rsid w:val="67342013"/>
    <w:rsid w:val="67C57B88"/>
    <w:rsid w:val="68092A31"/>
    <w:rsid w:val="685A7572"/>
    <w:rsid w:val="6983772C"/>
    <w:rsid w:val="69E927C6"/>
    <w:rsid w:val="6A417029"/>
    <w:rsid w:val="6B160DE7"/>
    <w:rsid w:val="6B6A5B05"/>
    <w:rsid w:val="6CB42952"/>
    <w:rsid w:val="6CB44F64"/>
    <w:rsid w:val="6D191EB7"/>
    <w:rsid w:val="6DDB5DEA"/>
    <w:rsid w:val="6F557EBD"/>
    <w:rsid w:val="6FC02034"/>
    <w:rsid w:val="70C11A75"/>
    <w:rsid w:val="70D90FCF"/>
    <w:rsid w:val="711A479E"/>
    <w:rsid w:val="711D3818"/>
    <w:rsid w:val="719B4A18"/>
    <w:rsid w:val="71BB4F85"/>
    <w:rsid w:val="72D37BE8"/>
    <w:rsid w:val="730F411E"/>
    <w:rsid w:val="74E12AF7"/>
    <w:rsid w:val="75514BEB"/>
    <w:rsid w:val="772338A8"/>
    <w:rsid w:val="774A5F0D"/>
    <w:rsid w:val="7822047E"/>
    <w:rsid w:val="78475357"/>
    <w:rsid w:val="78AF2EB8"/>
    <w:rsid w:val="78B54D6F"/>
    <w:rsid w:val="79071F8D"/>
    <w:rsid w:val="7A8B01B7"/>
    <w:rsid w:val="7AE96229"/>
    <w:rsid w:val="7BA53631"/>
    <w:rsid w:val="7BD02257"/>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unhideWhenUsed/>
    <w:qFormat/>
    <w:uiPriority w:val="99"/>
    <w:rPr>
      <w:color w:val="000000"/>
      <w:u w:val="none"/>
    </w:rPr>
  </w:style>
  <w:style w:type="character" w:styleId="9">
    <w:name w:val="Hyperlink"/>
    <w:basedOn w:val="7"/>
    <w:unhideWhenUsed/>
    <w:qFormat/>
    <w:uiPriority w:val="99"/>
    <w:rPr>
      <w:color w:val="000000"/>
      <w:u w:val="none"/>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customStyle="1" w:styleId="13">
    <w:name w:val="List Paragraph"/>
    <w:basedOn w:val="1"/>
    <w:qFormat/>
    <w:uiPriority w:val="34"/>
    <w:pPr>
      <w:ind w:firstLine="420" w:firstLineChars="200"/>
    </w:pPr>
  </w:style>
  <w:style w:type="paragraph" w:customStyle="1" w:styleId="1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5">
    <w:name w:val="apple-converted-space"/>
    <w:basedOn w:val="7"/>
    <w:qFormat/>
    <w:uiPriority w:val="0"/>
  </w:style>
  <w:style w:type="paragraph" w:customStyle="1" w:styleId="16">
    <w:name w:val="样式3"/>
    <w:basedOn w:val="3"/>
    <w:qFormat/>
    <w:uiPriority w:val="0"/>
    <w:pPr>
      <w:spacing w:line="0" w:lineRule="atLeast"/>
      <w:outlineLvl w:val="0"/>
    </w:pPr>
    <w:rPr>
      <w:rFonts w:cs="Times New Roman"/>
      <w:sz w:val="2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TotalTime>3</TotalTime>
  <ScaleCrop>false</ScaleCrop>
  <LinksUpToDate>false</LinksUpToDate>
  <CharactersWithSpaces>2869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cp:lastPrinted>2018-06-14T03:12:00Z</cp:lastPrinted>
  <dcterms:modified xsi:type="dcterms:W3CDTF">2018-09-21T07:07:33Z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