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numPr>
          <w:numId w:val="0"/>
        </w:numPr>
        <w:spacing w:before="100" w:beforeAutospacing="1" w:after="100" w:afterAutospacing="1" w:line="360" w:lineRule="auto"/>
        <w:ind w:leftChars="0" w:firstLine="6184" w:firstLineChars="2200"/>
        <w:jc w:val="left"/>
        <w:rPr>
          <w:rFonts w:ascii="宋体" w:hAnsi="宋体" w:eastAsia="宋体" w:cs="宋体"/>
          <w:kern w:val="0"/>
          <w:szCs w:val="21"/>
        </w:rPr>
      </w:pPr>
      <w:r>
        <w:rPr>
          <w:rFonts w:hint="eastAsia" w:ascii="宋体" w:hAnsi="宋体" w:eastAsia="宋体" w:cs="宋体"/>
          <w:b/>
          <w:bCs/>
          <w:kern w:val="0"/>
          <w:sz w:val="28"/>
          <w:szCs w:val="28"/>
          <w:lang w:eastAsia="zh-CN"/>
        </w:rPr>
        <w:t>包</w:t>
      </w:r>
      <w:r>
        <w:rPr>
          <w:rFonts w:hint="eastAsia" w:ascii="宋体" w:hAnsi="宋体" w:eastAsia="宋体" w:cs="宋体"/>
          <w:b/>
          <w:bCs/>
          <w:kern w:val="0"/>
          <w:sz w:val="28"/>
          <w:szCs w:val="28"/>
          <w:lang w:val="en-US" w:eastAsia="zh-CN"/>
        </w:rPr>
        <w:t>1</w:t>
      </w:r>
      <w:r>
        <w:rPr>
          <w:rFonts w:ascii="宋体" w:hAnsi="宋体" w:eastAsia="宋体" w:cs="宋体"/>
          <w:b/>
          <w:bCs/>
          <w:kern w:val="0"/>
          <w:szCs w:val="21"/>
        </w:rPr>
        <w:t>询价内容</w:t>
      </w:r>
      <w:r>
        <w:rPr>
          <w:rFonts w:hint="eastAsia" w:ascii="宋体" w:hAnsi="宋体" w:eastAsia="宋体" w:cs="宋体"/>
          <w:b/>
          <w:bCs/>
          <w:kern w:val="0"/>
          <w:szCs w:val="21"/>
        </w:rPr>
        <w:t>及</w:t>
      </w:r>
      <w:r>
        <w:rPr>
          <w:rFonts w:ascii="宋体" w:hAnsi="宋体" w:eastAsia="宋体" w:cs="宋体"/>
          <w:b/>
          <w:bCs/>
          <w:kern w:val="0"/>
          <w:szCs w:val="21"/>
        </w:rPr>
        <w:t>要求</w:t>
      </w:r>
      <w:r>
        <w:rPr>
          <w:rFonts w:ascii="宋体" w:hAnsi="宋体" w:eastAsia="宋体" w:cs="宋体"/>
          <w:b/>
          <w:bCs/>
          <w:kern w:val="0"/>
          <w:sz w:val="21"/>
          <w:szCs w:val="21"/>
        </w:rPr>
        <w:t> </w:t>
      </w:r>
      <w:r>
        <w:rPr>
          <w:rFonts w:ascii="宋体" w:hAnsi="宋体" w:eastAsia="宋体" w:cs="宋体"/>
          <w:kern w:val="0"/>
          <w:szCs w:val="21"/>
        </w:rPr>
        <w:t>          </w:t>
      </w:r>
    </w:p>
    <w:tbl>
      <w:tblPr>
        <w:tblStyle w:val="9"/>
        <w:tblW w:w="14871" w:type="dxa"/>
        <w:jc w:val="center"/>
        <w:tblInd w:w="10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914"/>
        <w:gridCol w:w="11375"/>
        <w:gridCol w:w="1050"/>
        <w:gridCol w:w="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2" w:type="dxa"/>
            <w:vAlign w:val="center"/>
          </w:tcPr>
          <w:p>
            <w:pPr>
              <w:spacing w:line="240" w:lineRule="atLeast"/>
              <w:jc w:val="center"/>
              <w:rPr>
                <w:szCs w:val="24"/>
              </w:rPr>
            </w:pPr>
            <w:r>
              <w:rPr>
                <w:rFonts w:hint="eastAsia"/>
                <w:szCs w:val="24"/>
              </w:rPr>
              <w:t>序号</w:t>
            </w:r>
          </w:p>
        </w:tc>
        <w:tc>
          <w:tcPr>
            <w:tcW w:w="914" w:type="dxa"/>
            <w:vAlign w:val="center"/>
          </w:tcPr>
          <w:p>
            <w:pPr>
              <w:spacing w:line="240" w:lineRule="atLeast"/>
              <w:jc w:val="center"/>
              <w:rPr>
                <w:szCs w:val="24"/>
              </w:rPr>
            </w:pPr>
            <w:r>
              <w:rPr>
                <w:rFonts w:hint="eastAsia"/>
                <w:szCs w:val="24"/>
              </w:rPr>
              <w:t>采购项目名称</w:t>
            </w:r>
          </w:p>
        </w:tc>
        <w:tc>
          <w:tcPr>
            <w:tcW w:w="11375" w:type="dxa"/>
            <w:vAlign w:val="center"/>
          </w:tcPr>
          <w:p>
            <w:pPr>
              <w:spacing w:line="240" w:lineRule="atLeast"/>
              <w:jc w:val="center"/>
              <w:rPr>
                <w:szCs w:val="24"/>
              </w:rPr>
            </w:pPr>
            <w:r>
              <w:rPr>
                <w:rFonts w:hint="eastAsia"/>
                <w:szCs w:val="24"/>
              </w:rPr>
              <w:t>主要技术参数</w:t>
            </w:r>
          </w:p>
        </w:tc>
        <w:tc>
          <w:tcPr>
            <w:tcW w:w="1050" w:type="dxa"/>
            <w:vAlign w:val="center"/>
          </w:tcPr>
          <w:p>
            <w:pPr>
              <w:spacing w:line="240" w:lineRule="atLeast"/>
              <w:jc w:val="center"/>
              <w:rPr>
                <w:szCs w:val="24"/>
              </w:rPr>
            </w:pPr>
            <w:r>
              <w:rPr>
                <w:rFonts w:hint="eastAsia"/>
                <w:szCs w:val="24"/>
              </w:rPr>
              <w:t>数量</w:t>
            </w:r>
          </w:p>
        </w:tc>
        <w:tc>
          <w:tcPr>
            <w:tcW w:w="970"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jc w:val="center"/>
        </w:trPr>
        <w:tc>
          <w:tcPr>
            <w:tcW w:w="562" w:type="dxa"/>
            <w:shd w:val="clear" w:color="auto" w:fill="auto"/>
            <w:vAlign w:val="center"/>
          </w:tcPr>
          <w:p>
            <w:pPr>
              <w:spacing w:line="240" w:lineRule="atLeast"/>
              <w:jc w:val="center"/>
              <w:rPr>
                <w:szCs w:val="24"/>
              </w:rPr>
            </w:pPr>
            <w:r>
              <w:rPr>
                <w:rFonts w:hint="eastAsia"/>
                <w:szCs w:val="24"/>
              </w:rPr>
              <w:t>1</w:t>
            </w:r>
          </w:p>
        </w:tc>
        <w:tc>
          <w:tcPr>
            <w:tcW w:w="914" w:type="dxa"/>
            <w:shd w:val="clear" w:color="auto" w:fill="FFFFFF"/>
            <w:vAlign w:val="center"/>
          </w:tcPr>
          <w:p>
            <w:pPr>
              <w:widowControl/>
              <w:spacing w:line="240" w:lineRule="atLeast"/>
              <w:jc w:val="left"/>
              <w:textAlignment w:val="center"/>
              <w:rPr>
                <w:szCs w:val="24"/>
              </w:rPr>
            </w:pPr>
            <w:r>
              <w:rPr>
                <w:rFonts w:hint="eastAsia"/>
                <w:sz w:val="22"/>
              </w:rPr>
              <w:t>篮球架</w:t>
            </w:r>
          </w:p>
        </w:tc>
        <w:tc>
          <w:tcPr>
            <w:tcW w:w="11375" w:type="dxa"/>
            <w:vAlign w:val="center"/>
          </w:tcPr>
          <w:p>
            <w:pPr>
              <w:ind w:firstLine="270" w:firstLineChars="150"/>
              <w:rPr>
                <w:rFonts w:hint="eastAsia" w:ascii="Times New Roman" w:hAnsi="Times New Roman"/>
                <w:sz w:val="18"/>
                <w:szCs w:val="18"/>
              </w:rPr>
            </w:pPr>
            <w:r>
              <w:rPr>
                <w:rFonts w:hint="eastAsia" w:ascii="Times New Roman" w:hAnsi="Times New Roman"/>
                <w:sz w:val="18"/>
                <w:szCs w:val="18"/>
              </w:rPr>
              <w:t>篮球架伸臂长2.25m，篮圈上沿离地面3.05m，篮架底座尺寸长x宽=2.0x1（m）球架立柱采用定制口150x150x4优质大圆角方管制作，圆角R30mm，造型美观，安全性高；篮架伸臂采用δ3进口优质铁板一次冲压成型后在专用折边机上折边，保持产品的美观性和统配性，伸臂上拉杆固定孔均采用冲压成型后焊接内置非标螺母，篮架立柱底板采用优质精密铸钢件制作，造型美观大方，性能安全可靠，篮架上拉杆采用Φ48×2圆管在弯管机上一次成型，通过优质精密铸钢件接头与铝压铸篮板耳片连接，下拉杆采用口50×40×3优质方管在弯管机上一次而成，避免了电焊及焊渣易引起生锈的隐患，通过调节上拉杆，可调节篮板的平面度和垂直度，通过调节下拉杆，可调节篮圈与地面的平行度。球架底座轮廓采用特制内卷槽钢一次拼焊成型，为了增强球架的使用安全性，单只球架可放置配重物不少于510kg。</w:t>
            </w:r>
          </w:p>
          <w:p>
            <w:pPr>
              <w:spacing w:line="240" w:lineRule="atLeast"/>
              <w:jc w:val="left"/>
              <w:rPr>
                <w:rFonts w:hint="eastAsia" w:ascii="宋体" w:hAnsi="宋体" w:cs="宋体"/>
                <w:bCs/>
                <w:kern w:val="36"/>
                <w:szCs w:val="21"/>
              </w:rPr>
            </w:pPr>
            <w:r>
              <w:rPr>
                <w:rFonts w:hint="eastAsia" w:ascii="Times New Roman" w:hAnsi="Times New Roman"/>
                <w:sz w:val="18"/>
                <w:szCs w:val="18"/>
              </w:rPr>
              <w:t>篮板规格：1800x1050（mm），篮板配用国际通用的高强度安全玻璃篮板，具有透明度高、耐侯性好、抗老化、耐腐蚀、不易模糊等特点，并在篮板下沿及侧面覆盖有保护条，能保护运动员运动时不受伤害。篮圈采用φ17实心圆钢制作，圈下焊有冲压成型的圆弧形网钩，十二段均匀分布留适当间隙，配篮网。篮圈抗弯性能好，水平固定在篮板上，与篮架连接的钢板和篮圈盖板均采用优质钢板一次冲压成型，造型美观。篮架所有紧固件均采用热镀锌处理，能保证长年不生锈，篮架置有走轮，配有方向操纵杆和轮子升降操纵杆，操作方便，仅需一人操作就可轻松移动篮架，喷涂工件的表面处理分二个阶段，前处理阶段使工件获得质量优良的介质层，增加防锈涂膜与金属基体的结合力，是提高产品表面处理能力的必备基础措施。表面处理阶段是将粉末通过高压静电作用均匀涂敷在被涂物体上的过程。当涂层达到一定厚度后，进入烘炉加热，涂料熔融固化，形成厚度均匀、质地牢固的涂层。本公司产品所有器材均在全自动喷涂流水线上作业，经抛丸——脱脂——水洗——无磷转化——水洗——烘干——静电粉末——固化等过程。产品涂层厚度70—80um，铅笔硬度达3H+。产品具有耐酸碱、耐湿热、抗老化、外观美观等优点，能适合潮湿和酸雨环境，且前处理过程以及产品涂料配方均不含有毒元素，避免损害使用者的健康。</w:t>
            </w:r>
          </w:p>
        </w:tc>
        <w:tc>
          <w:tcPr>
            <w:tcW w:w="1050" w:type="dxa"/>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0.5付</w:t>
            </w:r>
          </w:p>
        </w:tc>
        <w:tc>
          <w:tcPr>
            <w:tcW w:w="97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7500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562" w:type="dxa"/>
            <w:shd w:val="clear" w:color="auto" w:fill="auto"/>
            <w:vAlign w:val="center"/>
          </w:tcPr>
          <w:p>
            <w:pPr>
              <w:spacing w:line="240" w:lineRule="atLeast"/>
              <w:jc w:val="center"/>
              <w:rPr>
                <w:szCs w:val="24"/>
              </w:rPr>
            </w:pPr>
            <w:r>
              <w:rPr>
                <w:rFonts w:hint="eastAsia"/>
                <w:szCs w:val="24"/>
              </w:rPr>
              <w:t>2</w:t>
            </w:r>
          </w:p>
        </w:tc>
        <w:tc>
          <w:tcPr>
            <w:tcW w:w="914" w:type="dxa"/>
            <w:shd w:val="clear" w:color="auto" w:fill="FFFFFF"/>
            <w:vAlign w:val="center"/>
          </w:tcPr>
          <w:p>
            <w:pPr>
              <w:widowControl/>
              <w:spacing w:line="240" w:lineRule="atLeast"/>
              <w:jc w:val="left"/>
              <w:textAlignment w:val="center"/>
              <w:rPr>
                <w:szCs w:val="24"/>
              </w:rPr>
            </w:pPr>
            <w:r>
              <w:rPr>
                <w:rFonts w:hint="eastAsia"/>
                <w:sz w:val="22"/>
              </w:rPr>
              <w:t>气排球场地地胶</w:t>
            </w:r>
          </w:p>
        </w:tc>
        <w:tc>
          <w:tcPr>
            <w:tcW w:w="11375" w:type="dxa"/>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rPr>
              <w:t>宝石纹 厚度5.2mm 100%PVC原生料，专业纹路强化表层摩擦力，提升板体耐磨性与防滑性</w:t>
            </w:r>
            <w:bookmarkStart w:id="0" w:name="OLE_LINK27"/>
            <w:r>
              <w:rPr>
                <w:rFonts w:hint="eastAsia" w:ascii="宋体" w:hAnsi="宋体" w:cs="宋体"/>
                <w:bCs/>
                <w:kern w:val="36"/>
                <w:szCs w:val="21"/>
              </w:rPr>
              <w:t xml:space="preserve"> 重型玻纤网格布夹带</w:t>
            </w:r>
            <w:bookmarkEnd w:id="0"/>
            <w:r>
              <w:rPr>
                <w:rFonts w:hint="eastAsia" w:ascii="宋体" w:hAnsi="宋体" w:cs="宋体"/>
                <w:bCs/>
                <w:kern w:val="36"/>
                <w:szCs w:val="21"/>
              </w:rPr>
              <w:t>，提升地板的尺寸稳定性专业室外配方设计，保证产品优良的耐候、耐紫外线、耐酸碱、耐迁徙、耐老化性能独有的“米”字纹背封式底板，保证强力的地面吸附特性，室外使用防潮、防水。</w:t>
            </w:r>
          </w:p>
        </w:tc>
        <w:tc>
          <w:tcPr>
            <w:tcW w:w="1050" w:type="dxa"/>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rPr>
              <w:t>108m2</w:t>
            </w:r>
          </w:p>
        </w:tc>
        <w:tc>
          <w:tcPr>
            <w:tcW w:w="970" w:type="dxa"/>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rPr>
              <w:t>16200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Cs w:val="24"/>
              </w:rPr>
            </w:pPr>
            <w:r>
              <w:rPr>
                <w:szCs w:val="24"/>
              </w:rPr>
              <w:t>3</w:t>
            </w:r>
          </w:p>
        </w:tc>
        <w:tc>
          <w:tcPr>
            <w:tcW w:w="91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szCs w:val="24"/>
              </w:rPr>
            </w:pPr>
            <w:r>
              <w:rPr>
                <w:rFonts w:hint="eastAsia" w:ascii="宋体"/>
                <w:color w:val="000000"/>
                <w:kern w:val="0"/>
                <w:szCs w:val="21"/>
              </w:rPr>
              <w:t>篮球场</w:t>
            </w:r>
            <w:r>
              <w:rPr>
                <w:rFonts w:hint="eastAsia" w:ascii="宋体"/>
                <w:color w:val="000000"/>
                <w:kern w:val="0"/>
                <w:szCs w:val="21"/>
                <w:lang w:eastAsia="zh-CN"/>
              </w:rPr>
              <w:t>画线</w:t>
            </w:r>
          </w:p>
        </w:tc>
        <w:tc>
          <w:tcPr>
            <w:tcW w:w="11375" w:type="dxa"/>
            <w:tcBorders>
              <w:top w:val="single" w:color="auto" w:sz="4" w:space="0"/>
              <w:left w:val="single" w:color="auto" w:sz="4" w:space="0"/>
              <w:bottom w:val="single" w:color="auto" w:sz="4" w:space="0"/>
              <w:right w:val="single" w:color="auto" w:sz="4" w:space="0"/>
            </w:tcBorders>
            <w:vAlign w:val="center"/>
          </w:tcPr>
          <w:p>
            <w:pPr>
              <w:pStyle w:val="4"/>
              <w:shd w:val="clear" w:color="auto" w:fill="FFFFFF"/>
              <w:spacing w:before="150" w:after="150" w:line="435" w:lineRule="atLeast"/>
            </w:pPr>
            <w:r>
              <w:rPr>
                <w:rFonts w:hint="eastAsia"/>
              </w:rPr>
              <w:t>篮球场地按国际篮联最新标准线，面积为长度28米 宽15米 线条宽：0.05米。</w:t>
            </w:r>
          </w:p>
          <w:p>
            <w:pPr>
              <w:spacing w:line="240" w:lineRule="atLeast"/>
              <w:jc w:val="left"/>
              <w:rPr>
                <w:rFonts w:hint="eastAsia" w:ascii="宋体" w:hAnsi="宋体" w:cs="宋体"/>
                <w:bCs/>
                <w:kern w:val="36"/>
                <w:szCs w:val="21"/>
              </w:rPr>
            </w:pPr>
            <w:r>
              <w:rPr>
                <w:rFonts w:hint="eastAsia"/>
              </w:rPr>
              <w:t>采用专业丙烯酸白色马路漆，耐磨，不退色。</w:t>
            </w:r>
          </w:p>
        </w:tc>
        <w:tc>
          <w:tcPr>
            <w:tcW w:w="105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rPr>
              <w:t>3</w:t>
            </w:r>
            <w:r>
              <w:rPr>
                <w:rFonts w:hint="eastAsia" w:ascii="宋体" w:hAnsi="宋体" w:cs="宋体"/>
                <w:bCs/>
                <w:kern w:val="36"/>
                <w:szCs w:val="21"/>
                <w:lang w:eastAsia="zh-CN"/>
              </w:rPr>
              <w:t>个</w:t>
            </w:r>
          </w:p>
        </w:tc>
        <w:tc>
          <w:tcPr>
            <w:tcW w:w="97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7" w:hRule="atLeast"/>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Cs w:val="24"/>
              </w:rPr>
            </w:pPr>
            <w:r>
              <w:rPr>
                <w:szCs w:val="24"/>
              </w:rPr>
              <w:t>4</w:t>
            </w:r>
          </w:p>
        </w:tc>
        <w:tc>
          <w:tcPr>
            <w:tcW w:w="91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szCs w:val="24"/>
              </w:rPr>
            </w:pPr>
            <w:r>
              <w:rPr>
                <w:rFonts w:hint="eastAsia" w:ascii="宋体"/>
                <w:color w:val="000000"/>
                <w:kern w:val="0"/>
                <w:szCs w:val="21"/>
              </w:rPr>
              <w:t>排球场</w:t>
            </w:r>
            <w:r>
              <w:rPr>
                <w:rFonts w:hint="eastAsia" w:ascii="宋体"/>
                <w:color w:val="000000"/>
                <w:kern w:val="0"/>
                <w:szCs w:val="21"/>
                <w:lang w:eastAsia="zh-CN"/>
              </w:rPr>
              <w:t>画线</w:t>
            </w:r>
          </w:p>
        </w:tc>
        <w:tc>
          <w:tcPr>
            <w:tcW w:w="11375" w:type="dxa"/>
            <w:tcBorders>
              <w:top w:val="single" w:color="auto" w:sz="4" w:space="0"/>
              <w:left w:val="single" w:color="auto" w:sz="4" w:space="0"/>
              <w:bottom w:val="single" w:color="auto" w:sz="4" w:space="0"/>
              <w:right w:val="single" w:color="auto" w:sz="4" w:space="0"/>
            </w:tcBorders>
            <w:vAlign w:val="center"/>
          </w:tcPr>
          <w:p>
            <w:pPr>
              <w:pStyle w:val="4"/>
              <w:shd w:val="clear" w:color="auto" w:fill="FFFFFF"/>
              <w:spacing w:before="150" w:after="150" w:line="435" w:lineRule="atLeast"/>
              <w:rPr>
                <w:rFonts w:hint="eastAsia" w:ascii="宋体" w:hAnsi="宋体" w:cs="宋体"/>
                <w:bCs/>
                <w:kern w:val="36"/>
                <w:szCs w:val="21"/>
              </w:rPr>
            </w:pPr>
            <w:r>
              <w:rPr>
                <w:rFonts w:hint="eastAsia"/>
              </w:rPr>
              <w:t>排球场地画线根椐最新国际排联标准 面积为18米×9米的长方形，线条宽：0.05米。采用专业丙烯酸白色马路漆，耐磨，不退色。</w:t>
            </w:r>
          </w:p>
        </w:tc>
        <w:tc>
          <w:tcPr>
            <w:tcW w:w="105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rPr>
              <w:t>5</w:t>
            </w:r>
            <w:r>
              <w:rPr>
                <w:rFonts w:hint="eastAsia" w:ascii="宋体" w:hAnsi="宋体" w:cs="宋体"/>
                <w:bCs/>
                <w:kern w:val="36"/>
                <w:szCs w:val="21"/>
                <w:lang w:eastAsia="zh-CN"/>
              </w:rPr>
              <w:t>个</w:t>
            </w:r>
          </w:p>
        </w:tc>
        <w:tc>
          <w:tcPr>
            <w:tcW w:w="97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562" w:type="dxa"/>
            <w:shd w:val="clear" w:color="auto" w:fill="auto"/>
          </w:tcPr>
          <w:p>
            <w:pPr>
              <w:spacing w:line="240" w:lineRule="atLeast"/>
              <w:jc w:val="center"/>
              <w:rPr>
                <w:rFonts w:hint="eastAsia" w:eastAsiaTheme="minorEastAsia"/>
                <w:szCs w:val="24"/>
                <w:lang w:eastAsia="zh-CN"/>
              </w:rPr>
            </w:pPr>
          </w:p>
        </w:tc>
        <w:tc>
          <w:tcPr>
            <w:tcW w:w="914" w:type="dxa"/>
            <w:shd w:val="clear" w:color="auto" w:fill="FFFFFF"/>
            <w:vAlign w:val="center"/>
          </w:tcPr>
          <w:p>
            <w:pPr>
              <w:widowControl/>
              <w:spacing w:line="240" w:lineRule="atLeast"/>
              <w:jc w:val="left"/>
              <w:textAlignment w:val="center"/>
              <w:rPr>
                <w:rFonts w:hint="eastAsia" w:eastAsiaTheme="minorEastAsia"/>
                <w:szCs w:val="24"/>
                <w:lang w:eastAsia="zh-CN"/>
              </w:rPr>
            </w:pPr>
          </w:p>
        </w:tc>
        <w:tc>
          <w:tcPr>
            <w:tcW w:w="11375" w:type="dxa"/>
          </w:tcPr>
          <w:p>
            <w:pPr>
              <w:spacing w:line="240" w:lineRule="atLeast"/>
              <w:jc w:val="left"/>
              <w:rPr>
                <w:rFonts w:hint="eastAsia" w:ascii="宋体" w:hAnsi="宋体" w:cs="宋体"/>
                <w:bCs/>
                <w:kern w:val="36"/>
                <w:szCs w:val="21"/>
              </w:rPr>
            </w:pPr>
          </w:p>
        </w:tc>
        <w:tc>
          <w:tcPr>
            <w:tcW w:w="1050" w:type="dxa"/>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eastAsia="zh-CN"/>
              </w:rPr>
              <w:t>合计</w:t>
            </w:r>
          </w:p>
        </w:tc>
        <w:tc>
          <w:tcPr>
            <w:tcW w:w="970"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29700</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bCs/>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bCs/>
          <w:szCs w:val="21"/>
        </w:rPr>
      </w:pPr>
      <w:r>
        <w:rPr>
          <w:rFonts w:hint="eastAsia"/>
          <w:b/>
          <w:bCs/>
          <w:szCs w:val="21"/>
          <w:lang w:eastAsia="zh-CN"/>
        </w:rPr>
        <w:t>二</w:t>
      </w:r>
      <w:r>
        <w:rPr>
          <w:rFonts w:hint="eastAsia"/>
          <w:b/>
          <w:bCs/>
          <w:szCs w:val="21"/>
        </w:rPr>
        <w:t>、售后服务及其他要求（以下内容不允许负偏离）：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1</w:t>
      </w:r>
      <w:r>
        <w:rPr>
          <w:rFonts w:hint="eastAsia"/>
          <w:szCs w:val="21"/>
          <w:lang w:eastAsia="zh-CN"/>
        </w:rPr>
        <w:t>.</w:t>
      </w:r>
      <w:r>
        <w:rPr>
          <w:rFonts w:hint="eastAsia"/>
          <w:szCs w:val="21"/>
        </w:rPr>
        <w:t>交付地点：福建卫生职业技术学院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2</w:t>
      </w:r>
      <w:r>
        <w:rPr>
          <w:rFonts w:hint="eastAsia"/>
          <w:szCs w:val="21"/>
          <w:lang w:eastAsia="zh-CN"/>
        </w:rPr>
        <w:t>.</w:t>
      </w:r>
      <w:r>
        <w:rPr>
          <w:rFonts w:hint="eastAsia"/>
          <w:szCs w:val="21"/>
        </w:rPr>
        <w:t>交付时间：</w:t>
      </w:r>
      <w:r>
        <w:rPr>
          <w:rFonts w:hint="eastAsia"/>
          <w:szCs w:val="21"/>
          <w:lang w:eastAsia="zh-CN"/>
        </w:rPr>
        <w:t>合同签订之日起</w:t>
      </w:r>
      <w:r>
        <w:rPr>
          <w:rFonts w:hint="eastAsia"/>
          <w:szCs w:val="21"/>
          <w:lang w:val="en-US" w:eastAsia="zh-CN"/>
        </w:rPr>
        <w:t>10</w:t>
      </w:r>
      <w:r>
        <w:rPr>
          <w:rFonts w:hint="eastAsia"/>
          <w:szCs w:val="21"/>
          <w:lang w:eastAsia="zh-CN"/>
        </w:rPr>
        <w:t>个日历日</w:t>
      </w:r>
      <w:r>
        <w:rPr>
          <w:rFonts w:hint="eastAsia"/>
          <w:szCs w:val="21"/>
        </w:rPr>
        <w:t>内交货安装完毕</w:t>
      </w:r>
      <w:r>
        <w:rPr>
          <w:rFonts w:hint="eastAsia"/>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3</w:t>
      </w:r>
      <w:r>
        <w:rPr>
          <w:rFonts w:hint="eastAsia"/>
          <w:szCs w:val="21"/>
          <w:lang w:eastAsia="zh-CN"/>
        </w:rPr>
        <w:t>.</w:t>
      </w:r>
      <w:r>
        <w:rPr>
          <w:rFonts w:hint="eastAsia"/>
          <w:szCs w:val="21"/>
        </w:rPr>
        <w:t>提供的货物必须符合国家相关安全、环保标准、行业标准；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4</w:t>
      </w:r>
      <w:r>
        <w:rPr>
          <w:rFonts w:hint="eastAsia"/>
          <w:szCs w:val="21"/>
          <w:lang w:eastAsia="zh-CN"/>
        </w:rPr>
        <w:t>.</w:t>
      </w:r>
      <w:r>
        <w:rPr>
          <w:rFonts w:hint="eastAsia"/>
          <w:sz w:val="22"/>
        </w:rPr>
        <w:t>篮球架</w:t>
      </w:r>
      <w:r>
        <w:rPr>
          <w:rFonts w:hint="eastAsia"/>
          <w:sz w:val="22"/>
          <w:lang w:eastAsia="zh-CN"/>
        </w:rPr>
        <w:t>、</w:t>
      </w:r>
      <w:r>
        <w:rPr>
          <w:rFonts w:hint="eastAsia"/>
          <w:sz w:val="22"/>
        </w:rPr>
        <w:t>气排球场地地胶</w:t>
      </w:r>
      <w:r>
        <w:rPr>
          <w:rFonts w:hint="eastAsia"/>
          <w:szCs w:val="21"/>
          <w:lang w:eastAsia="zh-CN"/>
        </w:rPr>
        <w:t>保修期</w:t>
      </w:r>
      <w:r>
        <w:rPr>
          <w:rFonts w:hint="eastAsia"/>
          <w:szCs w:val="21"/>
          <w:lang w:val="en-US" w:eastAsia="zh-CN"/>
        </w:rPr>
        <w:t>5</w:t>
      </w:r>
      <w:r>
        <w:rPr>
          <w:rFonts w:hint="eastAsia"/>
          <w:szCs w:val="21"/>
          <w:lang w:eastAsia="zh-CN"/>
        </w:rPr>
        <w:t>年，</w:t>
      </w:r>
      <w:r>
        <w:rPr>
          <w:rFonts w:hint="eastAsia"/>
          <w:szCs w:val="21"/>
        </w:rPr>
        <w:t>在保修期内，</w:t>
      </w:r>
      <w:r>
        <w:rPr>
          <w:rFonts w:hint="eastAsia"/>
          <w:szCs w:val="21"/>
          <w:lang w:eastAsia="zh-CN"/>
        </w:rPr>
        <w:t>供应商免费上门定期维护、保养、维修，</w:t>
      </w:r>
      <w:r>
        <w:rPr>
          <w:rFonts w:hint="eastAsia"/>
          <w:szCs w:val="21"/>
        </w:rPr>
        <w:t>主要部件免费更换，其它部件按商品保修规定期限内免费更换。</w:t>
      </w:r>
      <w:r>
        <w:rPr>
          <w:rFonts w:hint="eastAsia"/>
          <w:szCs w:val="21"/>
          <w:lang w:eastAsia="zh-CN"/>
        </w:rPr>
        <w:t>画线保修</w:t>
      </w:r>
      <w:r>
        <w:rPr>
          <w:rFonts w:hint="eastAsia"/>
          <w:szCs w:val="21"/>
          <w:lang w:val="en-US" w:eastAsia="zh-CN"/>
        </w:rPr>
        <w:t>1年。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5</w:t>
      </w:r>
      <w:r>
        <w:rPr>
          <w:rFonts w:hint="eastAsia"/>
          <w:szCs w:val="21"/>
          <w:lang w:eastAsia="zh-CN"/>
        </w:rPr>
        <w:t>.</w:t>
      </w:r>
      <w:r>
        <w:rPr>
          <w:rFonts w:hint="eastAsia"/>
          <w:szCs w:val="21"/>
        </w:rPr>
        <w:t>产品在使用中发生故障，中标人在接到采购单位通知后2小时内响应，24小时内派工程师到达现场。质保期后承诺对故障维修只收取零配件费。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6</w:t>
      </w:r>
      <w:r>
        <w:rPr>
          <w:rFonts w:hint="eastAsia"/>
          <w:szCs w:val="21"/>
          <w:lang w:eastAsia="zh-CN"/>
        </w:rPr>
        <w:t>.</w:t>
      </w:r>
      <w:r>
        <w:rPr>
          <w:rFonts w:hint="eastAsia"/>
          <w:szCs w:val="21"/>
        </w:rPr>
        <w:t>售后服务：按国家三包政策和厂家标准执行。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7</w:t>
      </w:r>
      <w:r>
        <w:rPr>
          <w:rFonts w:hint="eastAsia"/>
          <w:szCs w:val="21"/>
          <w:lang w:eastAsia="zh-CN"/>
        </w:rPr>
        <w:t>.</w:t>
      </w:r>
      <w:r>
        <w:rPr>
          <w:rFonts w:hint="eastAsia"/>
          <w:szCs w:val="21"/>
        </w:rPr>
        <w:t>验收要求：按原厂家包装及询价内容及要求。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bCs/>
          <w:szCs w:val="21"/>
        </w:rPr>
      </w:pPr>
      <w:r>
        <w:rPr>
          <w:rFonts w:hint="eastAsia"/>
          <w:b/>
          <w:bCs/>
          <w:szCs w:val="21"/>
          <w:lang w:eastAsia="zh-CN"/>
        </w:rPr>
        <w:t>三</w:t>
      </w:r>
      <w:r>
        <w:rPr>
          <w:rFonts w:hint="eastAsia"/>
          <w:b/>
          <w:bCs/>
          <w:szCs w:val="21"/>
        </w:rPr>
        <w:t>、付款方式：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货物安装调试并验收合格后</w:t>
      </w:r>
      <w:r>
        <w:rPr>
          <w:rFonts w:hint="eastAsia"/>
          <w:szCs w:val="21"/>
          <w:lang w:eastAsia="zh-CN"/>
        </w:rPr>
        <w:t>中标方向我院提供</w:t>
      </w:r>
      <w:r>
        <w:rPr>
          <w:rFonts w:hint="eastAsia"/>
          <w:szCs w:val="21"/>
          <w:lang w:val="en-US" w:eastAsia="zh-CN"/>
        </w:rPr>
        <w:t>100%的货款正规含税发票，我院支付100%合同货款</w:t>
      </w:r>
      <w:r>
        <w:rPr>
          <w:rFonts w:hint="eastAsia"/>
          <w:szCs w:val="21"/>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7" w:firstLineChars="0"/>
        <w:jc w:val="left"/>
        <w:textAlignment w:val="auto"/>
        <w:outlineLvl w:val="9"/>
        <w:rPr>
          <w:rFonts w:hint="eastAsia"/>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7" w:firstLineChars="0"/>
        <w:jc w:val="left"/>
        <w:textAlignment w:val="auto"/>
        <w:outlineLvl w:val="9"/>
        <w:rPr>
          <w:rFonts w:hint="eastAsia"/>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7" w:firstLineChars="0"/>
        <w:jc w:val="left"/>
        <w:textAlignment w:val="auto"/>
        <w:outlineLvl w:val="9"/>
        <w:rPr>
          <w:rFonts w:hint="eastAsia"/>
          <w:szCs w:val="21"/>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ind w:firstLine="6465" w:firstLineChars="2300"/>
        <w:jc w:val="both"/>
        <w:outlineLvl w:val="0"/>
        <w:rPr>
          <w:rFonts w:hint="eastAsia"/>
          <w:b/>
          <w:bCs/>
          <w:color w:val="auto"/>
          <w:sz w:val="28"/>
          <w:szCs w:val="28"/>
        </w:rPr>
      </w:pPr>
      <w:r>
        <w:rPr>
          <w:rFonts w:hint="eastAsia"/>
          <w:b/>
          <w:bCs/>
          <w:color w:val="auto"/>
          <w:sz w:val="28"/>
          <w:szCs w:val="28"/>
          <w:lang w:eastAsia="zh-CN"/>
        </w:rPr>
        <w:t>包</w:t>
      </w:r>
      <w:r>
        <w:rPr>
          <w:rFonts w:hint="eastAsia"/>
          <w:b/>
          <w:bCs/>
          <w:color w:val="auto"/>
          <w:sz w:val="28"/>
          <w:szCs w:val="28"/>
          <w:lang w:val="en-US" w:eastAsia="zh-CN"/>
        </w:rPr>
        <w:t>1</w:t>
      </w:r>
      <w:r>
        <w:rPr>
          <w:rFonts w:hint="eastAsia"/>
          <w:b/>
          <w:bCs/>
          <w:color w:val="auto"/>
          <w:sz w:val="28"/>
          <w:szCs w:val="28"/>
        </w:rPr>
        <w:t>报价一览表</w:t>
      </w:r>
    </w:p>
    <w:tbl>
      <w:tblPr>
        <w:tblStyle w:val="9"/>
        <w:tblpPr w:leftFromText="180" w:rightFromText="180" w:vertAnchor="text" w:horzAnchor="page" w:tblpX="1071" w:tblpY="246"/>
        <w:tblOverlap w:val="never"/>
        <w:tblW w:w="15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362"/>
        <w:gridCol w:w="5553"/>
        <w:gridCol w:w="652"/>
        <w:gridCol w:w="998"/>
        <w:gridCol w:w="1702"/>
        <w:gridCol w:w="1283"/>
        <w:gridCol w:w="765"/>
        <w:gridCol w:w="1230"/>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362" w:type="dxa"/>
            <w:vAlign w:val="center"/>
          </w:tcPr>
          <w:p>
            <w:pPr>
              <w:spacing w:line="240" w:lineRule="atLeast"/>
              <w:jc w:val="center"/>
              <w:rPr>
                <w:rFonts w:hint="eastAsia" w:eastAsiaTheme="minorEastAsia"/>
                <w:szCs w:val="24"/>
                <w:lang w:eastAsia="zh-CN"/>
              </w:rPr>
            </w:pPr>
            <w:r>
              <w:rPr>
                <w:rFonts w:hint="eastAsia"/>
                <w:szCs w:val="24"/>
                <w:lang w:eastAsia="zh-CN"/>
              </w:rPr>
              <w:t>询价项目名称</w:t>
            </w:r>
          </w:p>
        </w:tc>
        <w:tc>
          <w:tcPr>
            <w:tcW w:w="5553" w:type="dxa"/>
            <w:vAlign w:val="center"/>
          </w:tcPr>
          <w:p>
            <w:pPr>
              <w:spacing w:line="240" w:lineRule="atLeast"/>
              <w:jc w:val="center"/>
              <w:rPr>
                <w:szCs w:val="24"/>
              </w:rPr>
            </w:pPr>
            <w:r>
              <w:rPr>
                <w:rFonts w:hint="eastAsia"/>
                <w:szCs w:val="24"/>
                <w:lang w:eastAsia="zh-CN"/>
              </w:rPr>
              <w:t>询价项目</w:t>
            </w:r>
            <w:r>
              <w:rPr>
                <w:rFonts w:hint="eastAsia"/>
                <w:szCs w:val="24"/>
              </w:rPr>
              <w:t>主要技术参数</w:t>
            </w:r>
          </w:p>
        </w:tc>
        <w:tc>
          <w:tcPr>
            <w:tcW w:w="652" w:type="dxa"/>
            <w:vAlign w:val="center"/>
          </w:tcPr>
          <w:p>
            <w:pPr>
              <w:spacing w:line="240" w:lineRule="atLeast"/>
              <w:jc w:val="center"/>
              <w:rPr>
                <w:rFonts w:hint="eastAsia" w:eastAsiaTheme="minorEastAsia"/>
                <w:szCs w:val="24"/>
                <w:lang w:eastAsia="zh-CN"/>
              </w:rPr>
            </w:pPr>
            <w:r>
              <w:rPr>
                <w:rFonts w:hint="eastAsia"/>
                <w:szCs w:val="24"/>
                <w:lang w:eastAsia="zh-CN"/>
              </w:rPr>
              <w:t>投标品牌</w:t>
            </w:r>
          </w:p>
        </w:tc>
        <w:tc>
          <w:tcPr>
            <w:tcW w:w="998" w:type="dxa"/>
            <w:vAlign w:val="center"/>
          </w:tcPr>
          <w:p>
            <w:pPr>
              <w:spacing w:line="240" w:lineRule="atLeast"/>
              <w:jc w:val="center"/>
              <w:rPr>
                <w:rFonts w:hint="eastAsia" w:eastAsiaTheme="minorEastAsia"/>
                <w:szCs w:val="24"/>
                <w:lang w:eastAsia="zh-CN"/>
              </w:rPr>
            </w:pPr>
            <w:r>
              <w:rPr>
                <w:rFonts w:hint="eastAsia"/>
                <w:szCs w:val="24"/>
                <w:lang w:eastAsia="zh-CN"/>
              </w:rPr>
              <w:t>投标型号</w:t>
            </w:r>
          </w:p>
        </w:tc>
        <w:tc>
          <w:tcPr>
            <w:tcW w:w="1702" w:type="dxa"/>
            <w:vAlign w:val="center"/>
          </w:tcPr>
          <w:p>
            <w:pPr>
              <w:spacing w:line="240" w:lineRule="atLeast"/>
              <w:jc w:val="center"/>
              <w:rPr>
                <w:rFonts w:hint="eastAsia" w:eastAsiaTheme="minorEastAsia"/>
                <w:szCs w:val="24"/>
                <w:lang w:eastAsia="zh-CN"/>
              </w:rPr>
            </w:pPr>
            <w:r>
              <w:rPr>
                <w:rFonts w:hint="eastAsia"/>
                <w:szCs w:val="24"/>
                <w:lang w:eastAsia="zh-CN"/>
              </w:rPr>
              <w:t>投标主要技术参数</w:t>
            </w:r>
          </w:p>
        </w:tc>
        <w:tc>
          <w:tcPr>
            <w:tcW w:w="1283" w:type="dxa"/>
            <w:vAlign w:val="center"/>
          </w:tcPr>
          <w:p>
            <w:pPr>
              <w:spacing w:line="240" w:lineRule="atLeast"/>
              <w:jc w:val="center"/>
              <w:rPr>
                <w:rFonts w:hint="eastAsia" w:eastAsiaTheme="minorEastAsia"/>
                <w:szCs w:val="24"/>
                <w:lang w:eastAsia="zh-CN"/>
              </w:rPr>
            </w:pPr>
            <w:r>
              <w:rPr>
                <w:rFonts w:hint="eastAsia"/>
                <w:szCs w:val="24"/>
                <w:lang w:eastAsia="zh-CN"/>
              </w:rPr>
              <w:t>技术参数响应（正偏离、无偏离、负偏离）</w:t>
            </w:r>
          </w:p>
        </w:tc>
        <w:tc>
          <w:tcPr>
            <w:tcW w:w="765" w:type="dxa"/>
            <w:vAlign w:val="center"/>
          </w:tcPr>
          <w:p>
            <w:pPr>
              <w:spacing w:line="240" w:lineRule="atLeast"/>
              <w:jc w:val="center"/>
              <w:rPr>
                <w:szCs w:val="24"/>
              </w:rPr>
            </w:pPr>
            <w:r>
              <w:rPr>
                <w:rFonts w:hint="eastAsia"/>
                <w:szCs w:val="24"/>
              </w:rPr>
              <w:t>数量</w:t>
            </w:r>
          </w:p>
        </w:tc>
        <w:tc>
          <w:tcPr>
            <w:tcW w:w="1230" w:type="dxa"/>
            <w:vAlign w:val="center"/>
          </w:tcPr>
          <w:p>
            <w:pPr>
              <w:spacing w:line="240" w:lineRule="atLeast"/>
              <w:jc w:val="center"/>
              <w:rPr>
                <w:szCs w:val="24"/>
              </w:rPr>
            </w:pPr>
            <w:r>
              <w:rPr>
                <w:rFonts w:hint="eastAsia"/>
                <w:szCs w:val="24"/>
              </w:rPr>
              <w:t>预算金额</w:t>
            </w:r>
          </w:p>
          <w:p>
            <w:pPr>
              <w:spacing w:line="240" w:lineRule="atLeast"/>
              <w:jc w:val="center"/>
              <w:rPr>
                <w:szCs w:val="24"/>
              </w:rPr>
            </w:pPr>
            <w:r>
              <w:rPr>
                <w:rFonts w:hint="eastAsia"/>
                <w:szCs w:val="24"/>
              </w:rPr>
              <w:t>（元</w:t>
            </w:r>
            <w:r>
              <w:rPr>
                <w:szCs w:val="24"/>
              </w:rPr>
              <w:t>）</w:t>
            </w:r>
          </w:p>
        </w:tc>
        <w:tc>
          <w:tcPr>
            <w:tcW w:w="975" w:type="dxa"/>
            <w:vAlign w:val="center"/>
          </w:tcPr>
          <w:p>
            <w:pPr>
              <w:spacing w:line="240" w:lineRule="atLeast"/>
              <w:jc w:val="center"/>
              <w:rPr>
                <w:rFonts w:hint="eastAsia" w:eastAsiaTheme="minorEastAsia"/>
                <w:szCs w:val="24"/>
                <w:lang w:eastAsia="zh-CN"/>
              </w:rPr>
            </w:pPr>
            <w:r>
              <w:rPr>
                <w:rFonts w:hint="eastAsia"/>
                <w:szCs w:val="24"/>
                <w:lang w:eastAsia="zh-CN"/>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trPr>
        <w:tc>
          <w:tcPr>
            <w:tcW w:w="490" w:type="dxa"/>
            <w:shd w:val="clear" w:color="auto" w:fill="auto"/>
            <w:vAlign w:val="center"/>
          </w:tcPr>
          <w:p>
            <w:pPr>
              <w:spacing w:line="240" w:lineRule="atLeast"/>
              <w:jc w:val="center"/>
              <w:rPr>
                <w:szCs w:val="24"/>
              </w:rPr>
            </w:pPr>
            <w:r>
              <w:rPr>
                <w:rFonts w:hint="eastAsia"/>
                <w:szCs w:val="24"/>
              </w:rPr>
              <w:t>1</w:t>
            </w:r>
          </w:p>
        </w:tc>
        <w:tc>
          <w:tcPr>
            <w:tcW w:w="1362" w:type="dxa"/>
            <w:shd w:val="clear" w:color="auto" w:fill="FFFFFF"/>
            <w:vAlign w:val="center"/>
          </w:tcPr>
          <w:p>
            <w:pPr>
              <w:widowControl/>
              <w:spacing w:line="240" w:lineRule="atLeast"/>
              <w:jc w:val="left"/>
              <w:textAlignment w:val="center"/>
              <w:rPr>
                <w:szCs w:val="24"/>
              </w:rPr>
            </w:pPr>
            <w:r>
              <w:rPr>
                <w:rFonts w:hint="eastAsia"/>
                <w:sz w:val="22"/>
              </w:rPr>
              <w:t>篮球架</w:t>
            </w:r>
          </w:p>
        </w:tc>
        <w:tc>
          <w:tcPr>
            <w:tcW w:w="5553" w:type="dxa"/>
            <w:vAlign w:val="center"/>
          </w:tcPr>
          <w:p>
            <w:pPr>
              <w:ind w:firstLine="225" w:firstLineChars="150"/>
              <w:rPr>
                <w:rFonts w:hint="eastAsia" w:ascii="Times New Roman" w:hAnsi="Times New Roman"/>
                <w:sz w:val="15"/>
                <w:szCs w:val="15"/>
              </w:rPr>
            </w:pPr>
            <w:r>
              <w:rPr>
                <w:rFonts w:hint="eastAsia" w:ascii="Times New Roman" w:hAnsi="Times New Roman"/>
                <w:sz w:val="15"/>
                <w:szCs w:val="15"/>
              </w:rPr>
              <w:t>篮球架伸臂长2.25m，篮圈上沿离地面3.05m，篮架底座尺寸长x宽=2.0x1（m）球架立柱采用定制口150x1</w:t>
            </w:r>
            <w:r>
              <w:rPr>
                <w:rFonts w:hint="eastAsia" w:ascii="Times New Roman" w:hAnsi="Times New Roman"/>
                <w:sz w:val="15"/>
                <w:szCs w:val="15"/>
                <w:lang w:val="en-US" w:eastAsia="zh-CN"/>
              </w:rPr>
              <w:t xml:space="preserve"> </w:t>
            </w:r>
            <w:r>
              <w:rPr>
                <w:rFonts w:hint="eastAsia" w:ascii="Times New Roman" w:hAnsi="Times New Roman"/>
                <w:sz w:val="15"/>
                <w:szCs w:val="15"/>
              </w:rPr>
              <w:t>50x4优质大圆角方管制作，圆角R30mm，造型美观，安全性高；篮架伸臂采用δ3进口优质铁板一次冲压成型后在专用折边机上折边，保持产品的美观性和统配性，伸臂上拉杆固定孔均采用冲压成型后焊接内置非标螺母，篮架立柱底板采用优质精密铸钢件制作，造型美观大方，性能安全可靠，篮架上拉杆采用Φ48×2圆管在弯管机上一次成型，通过优质精密铸钢件接头与铝压铸篮板耳片连接，下拉杆采用口50×40×3优质方管在弯管机上一次而成，避免了电焊及焊渣易引起生锈的隐患，通过调节上拉杆，可调节篮板的平面度和垂直度，通过调节下拉杆，可调节篮圈与地面的平行度。球架底座轮廓采用特制内卷槽钢一次拼焊成型，为了增强球架的使用安全性，单只球架可放置配重物不少于510kg。</w:t>
            </w:r>
          </w:p>
          <w:p>
            <w:pPr>
              <w:spacing w:line="240" w:lineRule="atLeast"/>
              <w:jc w:val="left"/>
              <w:rPr>
                <w:szCs w:val="21"/>
              </w:rPr>
            </w:pPr>
            <w:r>
              <w:rPr>
                <w:rFonts w:hint="eastAsia" w:ascii="Times New Roman" w:hAnsi="Times New Roman"/>
                <w:sz w:val="15"/>
                <w:szCs w:val="15"/>
              </w:rPr>
              <w:t>篮板规格：1800x1050（mm），篮板配用国际通用的高强度安全玻璃篮板，具有透明度高、耐侯性好、抗老化、耐腐蚀、不易模糊等特点，并在篮板下沿及侧面覆盖有保护条，能保护运动员运动时不受伤害。篮圈采用φ17实心圆钢制作，圈下焊有冲压成型的圆弧形网钩，十二段均匀分布留适当间隙，配篮网。篮圈抗弯性能好，水平固定在篮板上，与篮架连接的钢板和篮圈盖板均采用优质钢板一次冲压成型，造型美观。篮架所有紧固件均采用热镀锌处理，能保证长年不生锈，篮架置有走轮，配有方向操纵杆和轮子升降操纵杆，操作方便，仅需一人操作就可轻松移动篮架，喷涂工件的表面处理分二个阶段，前处理阶段使工件获得质量优良的介质层，增加防锈涂膜与金属基体的结合力，是提高产品表面处理能力的必备基础措施。表面处理阶段是将粉末通过高压静电作用均匀涂敷在被涂物体上的过程。当涂层达到一定厚度后，进入烘炉加热，涂料熔融固化，形成厚度均匀、质地牢固的涂层。本公司产品所有器材均在全自动喷涂流水线上作业，经抛丸——脱脂——水洗——无磷转化——水洗——烘干——静电粉末——固化等过程。产品涂层厚度70—80um，铅笔硬度达3H+。产品具有耐酸碱、耐湿热、抗老化、外观美观等优点，能适合潮湿和酸雨环境，且前处理过程以及产品涂料配方均不含有毒元素，避免损害使用者的健康。</w:t>
            </w:r>
          </w:p>
        </w:tc>
        <w:tc>
          <w:tcPr>
            <w:tcW w:w="652" w:type="dxa"/>
            <w:vAlign w:val="center"/>
          </w:tcPr>
          <w:p>
            <w:pPr>
              <w:spacing w:line="240" w:lineRule="atLeast"/>
              <w:jc w:val="center"/>
              <w:rPr>
                <w:rFonts w:hint="eastAsia"/>
                <w:szCs w:val="24"/>
              </w:rPr>
            </w:pPr>
          </w:p>
        </w:tc>
        <w:tc>
          <w:tcPr>
            <w:tcW w:w="998" w:type="dxa"/>
            <w:vAlign w:val="center"/>
          </w:tcPr>
          <w:p>
            <w:pPr>
              <w:spacing w:line="240" w:lineRule="atLeast"/>
              <w:jc w:val="center"/>
              <w:rPr>
                <w:rFonts w:hint="eastAsia"/>
                <w:szCs w:val="24"/>
              </w:rPr>
            </w:pPr>
          </w:p>
        </w:tc>
        <w:tc>
          <w:tcPr>
            <w:tcW w:w="1702" w:type="dxa"/>
            <w:vAlign w:val="center"/>
          </w:tcPr>
          <w:p>
            <w:pPr>
              <w:spacing w:line="240" w:lineRule="atLeast"/>
              <w:jc w:val="center"/>
              <w:rPr>
                <w:rFonts w:hint="eastAsia"/>
                <w:szCs w:val="24"/>
              </w:rPr>
            </w:pPr>
          </w:p>
        </w:tc>
        <w:tc>
          <w:tcPr>
            <w:tcW w:w="1283" w:type="dxa"/>
            <w:vAlign w:val="center"/>
          </w:tcPr>
          <w:p>
            <w:pPr>
              <w:spacing w:line="240" w:lineRule="atLeast"/>
              <w:jc w:val="center"/>
              <w:rPr>
                <w:rFonts w:hint="eastAsia"/>
                <w:szCs w:val="24"/>
              </w:rPr>
            </w:pPr>
          </w:p>
        </w:tc>
        <w:tc>
          <w:tcPr>
            <w:tcW w:w="765" w:type="dxa"/>
            <w:vAlign w:val="center"/>
          </w:tcPr>
          <w:p>
            <w:pPr>
              <w:spacing w:line="240" w:lineRule="atLeast"/>
              <w:jc w:val="left"/>
              <w:rPr>
                <w:szCs w:val="24"/>
              </w:rPr>
            </w:pPr>
            <w:r>
              <w:rPr>
                <w:rFonts w:hint="eastAsia" w:ascii="宋体" w:hAnsi="宋体" w:cs="宋体"/>
                <w:bCs/>
                <w:kern w:val="36"/>
                <w:szCs w:val="21"/>
                <w:lang w:val="en-US" w:eastAsia="zh-CN"/>
              </w:rPr>
              <w:t>0.5付</w:t>
            </w:r>
          </w:p>
        </w:tc>
        <w:tc>
          <w:tcPr>
            <w:tcW w:w="1230" w:type="dxa"/>
            <w:vAlign w:val="center"/>
          </w:tcPr>
          <w:p>
            <w:pPr>
              <w:spacing w:line="240" w:lineRule="atLeast"/>
              <w:jc w:val="left"/>
              <w:rPr>
                <w:szCs w:val="24"/>
              </w:rPr>
            </w:pPr>
            <w:r>
              <w:rPr>
                <w:rFonts w:hint="eastAsia" w:ascii="宋体" w:hAnsi="宋体" w:cs="宋体"/>
                <w:bCs/>
                <w:kern w:val="36"/>
                <w:szCs w:val="21"/>
                <w:lang w:val="en-US" w:eastAsia="zh-CN"/>
              </w:rPr>
              <w:t>7500</w:t>
            </w:r>
          </w:p>
        </w:tc>
        <w:tc>
          <w:tcPr>
            <w:tcW w:w="975"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center"/>
          </w:tcPr>
          <w:p>
            <w:pPr>
              <w:spacing w:line="240" w:lineRule="atLeast"/>
              <w:jc w:val="center"/>
              <w:rPr>
                <w:sz w:val="18"/>
                <w:szCs w:val="18"/>
              </w:rPr>
            </w:pPr>
            <w:r>
              <w:rPr>
                <w:rFonts w:hint="eastAsia"/>
                <w:sz w:val="18"/>
                <w:szCs w:val="18"/>
              </w:rPr>
              <w:t>2</w:t>
            </w:r>
          </w:p>
        </w:tc>
        <w:tc>
          <w:tcPr>
            <w:tcW w:w="1362" w:type="dxa"/>
            <w:shd w:val="clear" w:color="auto" w:fill="FFFFFF"/>
            <w:vAlign w:val="center"/>
          </w:tcPr>
          <w:p>
            <w:pPr>
              <w:widowControl/>
              <w:spacing w:line="240" w:lineRule="atLeast"/>
              <w:jc w:val="left"/>
              <w:textAlignment w:val="center"/>
              <w:rPr>
                <w:sz w:val="18"/>
                <w:szCs w:val="18"/>
              </w:rPr>
            </w:pPr>
            <w:r>
              <w:rPr>
                <w:rFonts w:hint="eastAsia"/>
                <w:sz w:val="18"/>
                <w:szCs w:val="18"/>
              </w:rPr>
              <w:t>气排球场地地胶</w:t>
            </w:r>
          </w:p>
        </w:tc>
        <w:tc>
          <w:tcPr>
            <w:tcW w:w="5553" w:type="dxa"/>
            <w:vAlign w:val="center"/>
          </w:tcPr>
          <w:p>
            <w:pPr>
              <w:spacing w:line="240" w:lineRule="atLeast"/>
              <w:jc w:val="left"/>
              <w:rPr>
                <w:sz w:val="18"/>
                <w:szCs w:val="18"/>
              </w:rPr>
            </w:pPr>
            <w:r>
              <w:rPr>
                <w:rFonts w:hint="eastAsia" w:ascii="宋体" w:hAnsi="宋体" w:cs="宋体"/>
                <w:bCs/>
                <w:kern w:val="36"/>
                <w:sz w:val="18"/>
                <w:szCs w:val="18"/>
              </w:rPr>
              <w:t>宝石纹 厚度5.2mm 100%PVC原生料，专业纹路强化表层摩擦力，提升板体耐磨性与防滑性 重型玻纤网格布夹带，提升地板的尺寸稳定性专业室外配方设计，保证产品优良的耐候、耐紫外线、耐酸碱、耐迁徙、耐老化性能独有的“米”字纹背封式底板，保证强力的地面吸附特性，室外使用防潮、防水。</w:t>
            </w:r>
          </w:p>
        </w:tc>
        <w:tc>
          <w:tcPr>
            <w:tcW w:w="652" w:type="dxa"/>
            <w:vAlign w:val="center"/>
          </w:tcPr>
          <w:p>
            <w:pPr>
              <w:spacing w:line="240" w:lineRule="atLeast"/>
              <w:jc w:val="center"/>
              <w:rPr>
                <w:rFonts w:hint="eastAsia"/>
                <w:sz w:val="18"/>
                <w:szCs w:val="18"/>
              </w:rPr>
            </w:pPr>
          </w:p>
        </w:tc>
        <w:tc>
          <w:tcPr>
            <w:tcW w:w="998" w:type="dxa"/>
            <w:vAlign w:val="center"/>
          </w:tcPr>
          <w:p>
            <w:pPr>
              <w:spacing w:line="240" w:lineRule="atLeast"/>
              <w:jc w:val="center"/>
              <w:rPr>
                <w:rFonts w:hint="eastAsia"/>
                <w:sz w:val="18"/>
                <w:szCs w:val="18"/>
              </w:rPr>
            </w:pPr>
          </w:p>
        </w:tc>
        <w:tc>
          <w:tcPr>
            <w:tcW w:w="1702" w:type="dxa"/>
            <w:vAlign w:val="center"/>
          </w:tcPr>
          <w:p>
            <w:pPr>
              <w:spacing w:line="240" w:lineRule="atLeast"/>
              <w:jc w:val="center"/>
              <w:rPr>
                <w:rFonts w:hint="eastAsia"/>
                <w:sz w:val="18"/>
                <w:szCs w:val="18"/>
              </w:rPr>
            </w:pPr>
          </w:p>
        </w:tc>
        <w:tc>
          <w:tcPr>
            <w:tcW w:w="1283" w:type="dxa"/>
            <w:vAlign w:val="center"/>
          </w:tcPr>
          <w:p>
            <w:pPr>
              <w:spacing w:line="240" w:lineRule="atLeast"/>
              <w:jc w:val="center"/>
              <w:rPr>
                <w:rFonts w:hint="eastAsia"/>
                <w:sz w:val="18"/>
                <w:szCs w:val="18"/>
              </w:rPr>
            </w:pPr>
          </w:p>
        </w:tc>
        <w:tc>
          <w:tcPr>
            <w:tcW w:w="765" w:type="dxa"/>
            <w:vAlign w:val="center"/>
          </w:tcPr>
          <w:p>
            <w:pPr>
              <w:spacing w:line="240" w:lineRule="atLeast"/>
              <w:jc w:val="left"/>
              <w:rPr>
                <w:sz w:val="18"/>
                <w:szCs w:val="18"/>
              </w:rPr>
            </w:pPr>
            <w:r>
              <w:rPr>
                <w:rFonts w:hint="eastAsia" w:ascii="宋体" w:hAnsi="宋体" w:cs="宋体"/>
                <w:bCs/>
                <w:kern w:val="36"/>
                <w:sz w:val="18"/>
                <w:szCs w:val="18"/>
              </w:rPr>
              <w:t>108m2</w:t>
            </w:r>
          </w:p>
        </w:tc>
        <w:tc>
          <w:tcPr>
            <w:tcW w:w="1230" w:type="dxa"/>
            <w:vAlign w:val="center"/>
          </w:tcPr>
          <w:p>
            <w:pPr>
              <w:spacing w:line="240" w:lineRule="atLeast"/>
              <w:jc w:val="left"/>
              <w:rPr>
                <w:sz w:val="18"/>
                <w:szCs w:val="18"/>
              </w:rPr>
            </w:pPr>
            <w:r>
              <w:rPr>
                <w:rFonts w:hint="eastAsia" w:ascii="宋体" w:hAnsi="宋体" w:cs="宋体"/>
                <w:bCs/>
                <w:kern w:val="36"/>
                <w:sz w:val="18"/>
                <w:szCs w:val="18"/>
              </w:rPr>
              <w:t>16200</w:t>
            </w:r>
          </w:p>
        </w:tc>
        <w:tc>
          <w:tcPr>
            <w:tcW w:w="975" w:type="dxa"/>
            <w:vAlign w:val="center"/>
          </w:tcPr>
          <w:p>
            <w:pPr>
              <w:spacing w:line="240" w:lineRule="atLeast"/>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 w:val="18"/>
                <w:szCs w:val="18"/>
              </w:rPr>
            </w:pPr>
            <w:r>
              <w:rPr>
                <w:sz w:val="18"/>
                <w:szCs w:val="18"/>
              </w:rPr>
              <w:t>3</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sz w:val="18"/>
                <w:szCs w:val="18"/>
              </w:rPr>
            </w:pPr>
            <w:r>
              <w:rPr>
                <w:rFonts w:hint="eastAsia" w:ascii="宋体"/>
                <w:color w:val="000000"/>
                <w:kern w:val="0"/>
                <w:sz w:val="18"/>
                <w:szCs w:val="18"/>
              </w:rPr>
              <w:t>篮球场</w:t>
            </w:r>
            <w:r>
              <w:rPr>
                <w:rFonts w:hint="eastAsia" w:ascii="宋体"/>
                <w:color w:val="000000"/>
                <w:kern w:val="0"/>
                <w:sz w:val="18"/>
                <w:szCs w:val="18"/>
                <w:lang w:eastAsia="zh-CN"/>
              </w:rPr>
              <w:t>画线</w:t>
            </w:r>
          </w:p>
        </w:tc>
        <w:tc>
          <w:tcPr>
            <w:tcW w:w="5553" w:type="dxa"/>
            <w:tcBorders>
              <w:top w:val="single" w:color="auto" w:sz="4" w:space="0"/>
              <w:left w:val="single" w:color="auto" w:sz="4" w:space="0"/>
              <w:bottom w:val="single" w:color="auto" w:sz="4" w:space="0"/>
              <w:right w:val="single" w:color="auto" w:sz="4" w:space="0"/>
            </w:tcBorders>
            <w:vAlign w:val="center"/>
          </w:tcPr>
          <w:p>
            <w:pPr>
              <w:pStyle w:val="4"/>
              <w:shd w:val="clear" w:color="auto" w:fill="FFFFFF"/>
              <w:spacing w:before="150" w:after="150" w:line="435" w:lineRule="atLeast"/>
              <w:rPr>
                <w:sz w:val="18"/>
                <w:szCs w:val="18"/>
              </w:rPr>
            </w:pPr>
            <w:r>
              <w:rPr>
                <w:rFonts w:hint="eastAsia"/>
                <w:sz w:val="18"/>
                <w:szCs w:val="18"/>
              </w:rPr>
              <w:t>篮球场地按国际篮联最新标准线，面积为长度28米 宽15米 线条宽：0.05米。</w:t>
            </w:r>
          </w:p>
          <w:p>
            <w:pPr>
              <w:spacing w:line="240" w:lineRule="atLeast"/>
              <w:jc w:val="left"/>
              <w:rPr>
                <w:sz w:val="18"/>
                <w:szCs w:val="18"/>
              </w:rPr>
            </w:pPr>
            <w:r>
              <w:rPr>
                <w:rFonts w:hint="eastAsia"/>
                <w:sz w:val="18"/>
                <w:szCs w:val="18"/>
              </w:rPr>
              <w:t>采用专业丙烯酸白色马路漆，耐磨，不退色。</w:t>
            </w:r>
          </w:p>
        </w:tc>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c>
          <w:tcPr>
            <w:tcW w:w="99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c>
          <w:tcPr>
            <w:tcW w:w="170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c>
          <w:tcPr>
            <w:tcW w:w="128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 w:val="18"/>
                <w:szCs w:val="18"/>
              </w:rPr>
            </w:pPr>
            <w:r>
              <w:rPr>
                <w:rFonts w:hint="eastAsia" w:ascii="宋体" w:hAnsi="宋体" w:cs="宋体"/>
                <w:bCs/>
                <w:kern w:val="36"/>
                <w:sz w:val="18"/>
                <w:szCs w:val="18"/>
              </w:rPr>
              <w:t>3</w:t>
            </w:r>
            <w:r>
              <w:rPr>
                <w:rFonts w:hint="eastAsia" w:ascii="宋体" w:hAnsi="宋体" w:cs="宋体"/>
                <w:bCs/>
                <w:kern w:val="36"/>
                <w:sz w:val="18"/>
                <w:szCs w:val="18"/>
                <w:lang w:eastAsia="zh-CN"/>
              </w:rPr>
              <w:t>个</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 w:val="18"/>
                <w:szCs w:val="18"/>
              </w:rPr>
            </w:pPr>
            <w:r>
              <w:rPr>
                <w:rFonts w:hint="eastAsia" w:ascii="宋体" w:hAnsi="宋体" w:cs="宋体"/>
                <w:bCs/>
                <w:kern w:val="36"/>
                <w:sz w:val="18"/>
                <w:szCs w:val="18"/>
                <w:lang w:val="en-US" w:eastAsia="zh-CN"/>
              </w:rPr>
              <w:t>3000</w:t>
            </w:r>
          </w:p>
        </w:tc>
        <w:tc>
          <w:tcPr>
            <w:tcW w:w="97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0"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 w:val="18"/>
                <w:szCs w:val="18"/>
              </w:rPr>
            </w:pPr>
            <w:r>
              <w:rPr>
                <w:sz w:val="18"/>
                <w:szCs w:val="18"/>
              </w:rPr>
              <w:t>4</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sz w:val="18"/>
                <w:szCs w:val="18"/>
              </w:rPr>
            </w:pPr>
            <w:r>
              <w:rPr>
                <w:rFonts w:hint="eastAsia" w:ascii="宋体"/>
                <w:color w:val="000000"/>
                <w:kern w:val="0"/>
                <w:sz w:val="18"/>
                <w:szCs w:val="18"/>
              </w:rPr>
              <w:t>排球场</w:t>
            </w:r>
            <w:r>
              <w:rPr>
                <w:rFonts w:hint="eastAsia" w:ascii="宋体"/>
                <w:color w:val="000000"/>
                <w:kern w:val="0"/>
                <w:sz w:val="18"/>
                <w:szCs w:val="18"/>
                <w:lang w:eastAsia="zh-CN"/>
              </w:rPr>
              <w:t>画线</w:t>
            </w:r>
          </w:p>
        </w:tc>
        <w:tc>
          <w:tcPr>
            <w:tcW w:w="5553" w:type="dxa"/>
            <w:tcBorders>
              <w:top w:val="single" w:color="auto" w:sz="4" w:space="0"/>
              <w:left w:val="single" w:color="auto" w:sz="4" w:space="0"/>
              <w:bottom w:val="single" w:color="auto" w:sz="4" w:space="0"/>
              <w:right w:val="single" w:color="auto" w:sz="4" w:space="0"/>
            </w:tcBorders>
            <w:vAlign w:val="center"/>
          </w:tcPr>
          <w:p>
            <w:pPr>
              <w:pStyle w:val="4"/>
              <w:shd w:val="clear" w:color="auto" w:fill="FFFFFF"/>
              <w:spacing w:before="150" w:after="150" w:line="435" w:lineRule="atLeast"/>
              <w:rPr>
                <w:sz w:val="18"/>
                <w:szCs w:val="18"/>
              </w:rPr>
            </w:pPr>
            <w:r>
              <w:rPr>
                <w:rFonts w:hint="eastAsia"/>
                <w:sz w:val="18"/>
                <w:szCs w:val="18"/>
              </w:rPr>
              <w:t>排球场地画线根椐最新国际排联标准 面积为18米×9米的长方形，线条宽：0.05米。采用专业丙烯酸白色马路漆，耐磨，不退色。</w:t>
            </w:r>
          </w:p>
        </w:tc>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c>
          <w:tcPr>
            <w:tcW w:w="99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c>
          <w:tcPr>
            <w:tcW w:w="170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c>
          <w:tcPr>
            <w:tcW w:w="128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 w:val="18"/>
                <w:szCs w:val="18"/>
              </w:rPr>
            </w:pPr>
            <w:r>
              <w:rPr>
                <w:rFonts w:hint="eastAsia" w:ascii="宋体" w:hAnsi="宋体" w:cs="宋体"/>
                <w:bCs/>
                <w:kern w:val="36"/>
                <w:sz w:val="18"/>
                <w:szCs w:val="18"/>
              </w:rPr>
              <w:t>5</w:t>
            </w:r>
            <w:r>
              <w:rPr>
                <w:rFonts w:hint="eastAsia" w:ascii="宋体" w:hAnsi="宋体" w:cs="宋体"/>
                <w:bCs/>
                <w:kern w:val="36"/>
                <w:sz w:val="18"/>
                <w:szCs w:val="18"/>
                <w:lang w:eastAsia="zh-CN"/>
              </w:rPr>
              <w:t>个</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 w:val="18"/>
                <w:szCs w:val="18"/>
              </w:rPr>
            </w:pPr>
            <w:r>
              <w:rPr>
                <w:rFonts w:hint="eastAsia" w:ascii="宋体" w:hAnsi="宋体" w:cs="宋体"/>
                <w:bCs/>
                <w:kern w:val="36"/>
                <w:sz w:val="18"/>
                <w:szCs w:val="18"/>
                <w:lang w:val="en-US" w:eastAsia="zh-CN"/>
              </w:rPr>
              <w:t>3000</w:t>
            </w:r>
          </w:p>
        </w:tc>
        <w:tc>
          <w:tcPr>
            <w:tcW w:w="97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37" w:hRule="atLeast"/>
        </w:trPr>
        <w:tc>
          <w:tcPr>
            <w:tcW w:w="490" w:type="dxa"/>
            <w:shd w:val="clear" w:color="auto" w:fill="auto"/>
          </w:tcPr>
          <w:p>
            <w:pPr>
              <w:spacing w:line="240" w:lineRule="atLeast"/>
              <w:jc w:val="center"/>
              <w:rPr>
                <w:rFonts w:hint="eastAsia"/>
                <w:sz w:val="18"/>
                <w:szCs w:val="18"/>
              </w:rPr>
            </w:pPr>
          </w:p>
        </w:tc>
        <w:tc>
          <w:tcPr>
            <w:tcW w:w="1362" w:type="dxa"/>
            <w:shd w:val="clear" w:color="auto" w:fill="FFFFFF"/>
            <w:vAlign w:val="center"/>
          </w:tcPr>
          <w:p>
            <w:pPr>
              <w:widowControl/>
              <w:spacing w:line="240" w:lineRule="atLeast"/>
              <w:jc w:val="left"/>
              <w:textAlignment w:val="center"/>
              <w:rPr>
                <w:rFonts w:hint="eastAsia" w:ascii="宋体" w:hAnsi="宋体" w:cs="宋体"/>
                <w:color w:val="000000"/>
                <w:kern w:val="0"/>
                <w:sz w:val="18"/>
                <w:szCs w:val="18"/>
              </w:rPr>
            </w:pPr>
            <w:r>
              <w:rPr>
                <w:rFonts w:hint="eastAsia"/>
                <w:b/>
                <w:bCs/>
                <w:sz w:val="18"/>
                <w:szCs w:val="18"/>
              </w:rPr>
              <w:t>售后服务及其他要求</w:t>
            </w:r>
          </w:p>
        </w:tc>
        <w:tc>
          <w:tcPr>
            <w:tcW w:w="5553"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 w:val="18"/>
                <w:szCs w:val="18"/>
              </w:rPr>
            </w:pPr>
            <w:r>
              <w:rPr>
                <w:rFonts w:hint="eastAsia"/>
                <w:sz w:val="18"/>
                <w:szCs w:val="18"/>
              </w:rPr>
              <w:t>1</w:t>
            </w:r>
            <w:r>
              <w:rPr>
                <w:rFonts w:hint="eastAsia"/>
                <w:sz w:val="18"/>
                <w:szCs w:val="18"/>
                <w:lang w:eastAsia="zh-CN"/>
              </w:rPr>
              <w:t>.</w:t>
            </w:r>
            <w:r>
              <w:rPr>
                <w:rFonts w:hint="eastAsia"/>
                <w:sz w:val="18"/>
                <w:szCs w:val="18"/>
              </w:rPr>
              <w:t>交付地点：福建卫生职业技术学院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 w:val="18"/>
                <w:szCs w:val="18"/>
              </w:rPr>
            </w:pPr>
            <w:r>
              <w:rPr>
                <w:rFonts w:hint="eastAsia"/>
                <w:sz w:val="18"/>
                <w:szCs w:val="18"/>
              </w:rPr>
              <w:t>2</w:t>
            </w:r>
            <w:r>
              <w:rPr>
                <w:rFonts w:hint="eastAsia"/>
                <w:sz w:val="18"/>
                <w:szCs w:val="18"/>
                <w:lang w:eastAsia="zh-CN"/>
              </w:rPr>
              <w:t>.</w:t>
            </w:r>
            <w:r>
              <w:rPr>
                <w:rFonts w:hint="eastAsia"/>
                <w:sz w:val="18"/>
                <w:szCs w:val="18"/>
              </w:rPr>
              <w:t>交付时间：</w:t>
            </w:r>
            <w:r>
              <w:rPr>
                <w:rFonts w:hint="eastAsia"/>
                <w:sz w:val="18"/>
                <w:szCs w:val="18"/>
                <w:lang w:eastAsia="zh-CN"/>
              </w:rPr>
              <w:t>合同签订之日起</w:t>
            </w:r>
            <w:r>
              <w:rPr>
                <w:rFonts w:hint="eastAsia"/>
                <w:sz w:val="18"/>
                <w:szCs w:val="18"/>
                <w:lang w:val="en-US" w:eastAsia="zh-CN"/>
              </w:rPr>
              <w:t>10</w:t>
            </w:r>
            <w:r>
              <w:rPr>
                <w:rFonts w:hint="eastAsia"/>
                <w:sz w:val="18"/>
                <w:szCs w:val="18"/>
                <w:lang w:eastAsia="zh-CN"/>
              </w:rPr>
              <w:t>个日历日</w:t>
            </w:r>
            <w:r>
              <w:rPr>
                <w:rFonts w:hint="eastAsia"/>
                <w:sz w:val="18"/>
                <w:szCs w:val="18"/>
              </w:rPr>
              <w:t>内交货安装完毕</w:t>
            </w:r>
            <w:r>
              <w:rPr>
                <w:rFonts w:hint="eastAsia"/>
                <w:sz w:val="18"/>
                <w:szCs w:val="1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 w:val="18"/>
                <w:szCs w:val="18"/>
              </w:rPr>
            </w:pPr>
            <w:r>
              <w:rPr>
                <w:rFonts w:hint="eastAsia"/>
                <w:sz w:val="18"/>
                <w:szCs w:val="18"/>
              </w:rPr>
              <w:t>3</w:t>
            </w:r>
            <w:r>
              <w:rPr>
                <w:rFonts w:hint="eastAsia"/>
                <w:sz w:val="18"/>
                <w:szCs w:val="18"/>
                <w:lang w:eastAsia="zh-CN"/>
              </w:rPr>
              <w:t>.</w:t>
            </w:r>
            <w:r>
              <w:rPr>
                <w:rFonts w:hint="eastAsia"/>
                <w:sz w:val="18"/>
                <w:szCs w:val="18"/>
              </w:rPr>
              <w:t>提供的货物必须符合国家相关安全、环保标准、行业标准；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 w:val="18"/>
                <w:szCs w:val="18"/>
              </w:rPr>
            </w:pPr>
            <w:r>
              <w:rPr>
                <w:rFonts w:hint="eastAsia"/>
                <w:sz w:val="18"/>
                <w:szCs w:val="18"/>
              </w:rPr>
              <w:t>4</w:t>
            </w:r>
            <w:r>
              <w:rPr>
                <w:rFonts w:hint="eastAsia"/>
                <w:sz w:val="18"/>
                <w:szCs w:val="18"/>
                <w:lang w:eastAsia="zh-CN"/>
              </w:rPr>
              <w:t>.</w:t>
            </w:r>
            <w:r>
              <w:rPr>
                <w:rFonts w:hint="eastAsia"/>
                <w:sz w:val="18"/>
                <w:szCs w:val="18"/>
              </w:rPr>
              <w:t>篮球架</w:t>
            </w:r>
            <w:r>
              <w:rPr>
                <w:rFonts w:hint="eastAsia"/>
                <w:sz w:val="18"/>
                <w:szCs w:val="18"/>
                <w:lang w:eastAsia="zh-CN"/>
              </w:rPr>
              <w:t>、</w:t>
            </w:r>
            <w:r>
              <w:rPr>
                <w:rFonts w:hint="eastAsia"/>
                <w:sz w:val="18"/>
                <w:szCs w:val="18"/>
              </w:rPr>
              <w:t>气排球场地地胶</w:t>
            </w:r>
            <w:r>
              <w:rPr>
                <w:rFonts w:hint="eastAsia"/>
                <w:sz w:val="18"/>
                <w:szCs w:val="18"/>
                <w:lang w:eastAsia="zh-CN"/>
              </w:rPr>
              <w:t>保修期</w:t>
            </w:r>
            <w:r>
              <w:rPr>
                <w:rFonts w:hint="eastAsia"/>
                <w:sz w:val="18"/>
                <w:szCs w:val="18"/>
                <w:lang w:val="en-US" w:eastAsia="zh-CN"/>
              </w:rPr>
              <w:t>5</w:t>
            </w:r>
            <w:r>
              <w:rPr>
                <w:rFonts w:hint="eastAsia"/>
                <w:sz w:val="18"/>
                <w:szCs w:val="18"/>
                <w:lang w:eastAsia="zh-CN"/>
              </w:rPr>
              <w:t>年，</w:t>
            </w:r>
            <w:r>
              <w:rPr>
                <w:rFonts w:hint="eastAsia"/>
                <w:sz w:val="18"/>
                <w:szCs w:val="18"/>
              </w:rPr>
              <w:t>在保修期内，</w:t>
            </w:r>
            <w:r>
              <w:rPr>
                <w:rFonts w:hint="eastAsia"/>
                <w:sz w:val="18"/>
                <w:szCs w:val="18"/>
                <w:lang w:eastAsia="zh-CN"/>
              </w:rPr>
              <w:t>供应商免费上门定期维护、保养、维修，</w:t>
            </w:r>
            <w:r>
              <w:rPr>
                <w:rFonts w:hint="eastAsia"/>
                <w:sz w:val="18"/>
                <w:szCs w:val="18"/>
              </w:rPr>
              <w:t>主要部件免费更换，其它部件按商品保修规定期限内免费更换。</w:t>
            </w:r>
            <w:r>
              <w:rPr>
                <w:rFonts w:hint="eastAsia"/>
                <w:sz w:val="18"/>
                <w:szCs w:val="18"/>
                <w:lang w:eastAsia="zh-CN"/>
              </w:rPr>
              <w:t>画线保修</w:t>
            </w:r>
            <w:r>
              <w:rPr>
                <w:rFonts w:hint="eastAsia"/>
                <w:sz w:val="18"/>
                <w:szCs w:val="18"/>
                <w:lang w:val="en-US" w:eastAsia="zh-CN"/>
              </w:rPr>
              <w:t>1年。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 w:val="18"/>
                <w:szCs w:val="18"/>
              </w:rPr>
            </w:pPr>
            <w:r>
              <w:rPr>
                <w:rFonts w:hint="eastAsia"/>
                <w:sz w:val="18"/>
                <w:szCs w:val="18"/>
              </w:rPr>
              <w:t>5</w:t>
            </w:r>
            <w:r>
              <w:rPr>
                <w:rFonts w:hint="eastAsia"/>
                <w:sz w:val="18"/>
                <w:szCs w:val="18"/>
                <w:lang w:eastAsia="zh-CN"/>
              </w:rPr>
              <w:t>.</w:t>
            </w:r>
            <w:r>
              <w:rPr>
                <w:rFonts w:hint="eastAsia"/>
                <w:sz w:val="18"/>
                <w:szCs w:val="18"/>
              </w:rPr>
              <w:t>产品在使用中发生故障，中标人在接到采购单位通知后2小时内响应，24小时内派工程师到达现场。质保期后承诺对故障维修只收取零配件费。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 w:val="18"/>
                <w:szCs w:val="18"/>
              </w:rPr>
            </w:pPr>
            <w:r>
              <w:rPr>
                <w:rFonts w:hint="eastAsia"/>
                <w:sz w:val="18"/>
                <w:szCs w:val="18"/>
              </w:rPr>
              <w:t>6</w:t>
            </w:r>
            <w:r>
              <w:rPr>
                <w:rFonts w:hint="eastAsia"/>
                <w:sz w:val="18"/>
                <w:szCs w:val="18"/>
                <w:lang w:eastAsia="zh-CN"/>
              </w:rPr>
              <w:t>.</w:t>
            </w:r>
            <w:r>
              <w:rPr>
                <w:rFonts w:hint="eastAsia"/>
                <w:sz w:val="18"/>
                <w:szCs w:val="18"/>
              </w:rPr>
              <w:t>售后服务：按国家三包政策和厂家标准执行。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 w:val="18"/>
                <w:szCs w:val="18"/>
              </w:rPr>
            </w:pPr>
            <w:r>
              <w:rPr>
                <w:rFonts w:hint="eastAsia"/>
                <w:sz w:val="18"/>
                <w:szCs w:val="18"/>
              </w:rPr>
              <w:t>7</w:t>
            </w:r>
            <w:r>
              <w:rPr>
                <w:rFonts w:hint="eastAsia"/>
                <w:sz w:val="18"/>
                <w:szCs w:val="18"/>
                <w:lang w:eastAsia="zh-CN"/>
              </w:rPr>
              <w:t>.</w:t>
            </w:r>
            <w:r>
              <w:rPr>
                <w:rFonts w:hint="eastAsia"/>
                <w:sz w:val="18"/>
                <w:szCs w:val="18"/>
              </w:rPr>
              <w:t>验收要求：按原厂家包装及询价内容及要求。</w:t>
            </w:r>
          </w:p>
        </w:tc>
        <w:tc>
          <w:tcPr>
            <w:tcW w:w="652" w:type="dxa"/>
          </w:tcPr>
          <w:p>
            <w:pPr>
              <w:spacing w:line="240" w:lineRule="atLeast"/>
              <w:jc w:val="center"/>
              <w:rPr>
                <w:rFonts w:hint="eastAsia"/>
                <w:sz w:val="18"/>
                <w:szCs w:val="18"/>
              </w:rPr>
            </w:pPr>
          </w:p>
        </w:tc>
        <w:tc>
          <w:tcPr>
            <w:tcW w:w="998" w:type="dxa"/>
          </w:tcPr>
          <w:p>
            <w:pPr>
              <w:spacing w:line="240" w:lineRule="atLeast"/>
              <w:jc w:val="center"/>
              <w:rPr>
                <w:rFonts w:hint="eastAsia"/>
                <w:sz w:val="18"/>
                <w:szCs w:val="18"/>
              </w:rPr>
            </w:pPr>
          </w:p>
        </w:tc>
        <w:tc>
          <w:tcPr>
            <w:tcW w:w="1702" w:type="dxa"/>
          </w:tcPr>
          <w:p>
            <w:pPr>
              <w:spacing w:line="240" w:lineRule="atLeast"/>
              <w:jc w:val="center"/>
              <w:rPr>
                <w:rFonts w:hint="eastAsia"/>
                <w:sz w:val="18"/>
                <w:szCs w:val="18"/>
              </w:rPr>
            </w:pPr>
          </w:p>
        </w:tc>
        <w:tc>
          <w:tcPr>
            <w:tcW w:w="1283" w:type="dxa"/>
          </w:tcPr>
          <w:p>
            <w:pPr>
              <w:spacing w:line="240" w:lineRule="atLeast"/>
              <w:jc w:val="center"/>
              <w:rPr>
                <w:rFonts w:hint="eastAsia"/>
                <w:sz w:val="18"/>
                <w:szCs w:val="18"/>
              </w:rPr>
            </w:pPr>
          </w:p>
        </w:tc>
        <w:tc>
          <w:tcPr>
            <w:tcW w:w="765" w:type="dxa"/>
          </w:tcPr>
          <w:p>
            <w:pPr>
              <w:spacing w:line="240" w:lineRule="atLeast"/>
              <w:jc w:val="center"/>
              <w:rPr>
                <w:rFonts w:hint="eastAsia"/>
                <w:sz w:val="18"/>
                <w:szCs w:val="18"/>
              </w:rPr>
            </w:pPr>
          </w:p>
        </w:tc>
        <w:tc>
          <w:tcPr>
            <w:tcW w:w="1230" w:type="dxa"/>
          </w:tcPr>
          <w:p>
            <w:pPr>
              <w:spacing w:line="240" w:lineRule="atLeast"/>
              <w:jc w:val="center"/>
              <w:rPr>
                <w:rFonts w:hint="eastAsia"/>
                <w:sz w:val="18"/>
                <w:szCs w:val="18"/>
              </w:rPr>
            </w:pPr>
          </w:p>
        </w:tc>
        <w:tc>
          <w:tcPr>
            <w:tcW w:w="975" w:type="dxa"/>
          </w:tcPr>
          <w:p>
            <w:pPr>
              <w:spacing w:line="240" w:lineRule="atLeast"/>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tcPr>
          <w:p>
            <w:pPr>
              <w:spacing w:line="240" w:lineRule="atLeast"/>
              <w:jc w:val="center"/>
              <w:rPr>
                <w:rFonts w:hint="eastAsia"/>
                <w:sz w:val="18"/>
                <w:szCs w:val="18"/>
              </w:rPr>
            </w:pPr>
          </w:p>
        </w:tc>
        <w:tc>
          <w:tcPr>
            <w:tcW w:w="1362" w:type="dxa"/>
            <w:shd w:val="clear" w:color="auto" w:fill="FFFFFF"/>
            <w:vAlign w:val="center"/>
          </w:tcPr>
          <w:p>
            <w:pPr>
              <w:widowControl/>
              <w:spacing w:line="240" w:lineRule="atLeast"/>
              <w:jc w:val="left"/>
              <w:textAlignment w:val="center"/>
              <w:rPr>
                <w:rFonts w:hint="eastAsia"/>
                <w:b/>
                <w:bCs/>
                <w:sz w:val="18"/>
                <w:szCs w:val="18"/>
              </w:rPr>
            </w:pPr>
          </w:p>
        </w:tc>
        <w:tc>
          <w:tcPr>
            <w:tcW w:w="5553" w:type="dxa"/>
          </w:tcPr>
          <w:p>
            <w:pPr>
              <w:spacing w:line="240" w:lineRule="atLeast"/>
              <w:jc w:val="left"/>
              <w:rPr>
                <w:rFonts w:hint="eastAsia"/>
                <w:sz w:val="18"/>
                <w:szCs w:val="18"/>
              </w:rPr>
            </w:pPr>
          </w:p>
        </w:tc>
        <w:tc>
          <w:tcPr>
            <w:tcW w:w="652" w:type="dxa"/>
          </w:tcPr>
          <w:p>
            <w:pPr>
              <w:spacing w:line="240" w:lineRule="atLeast"/>
              <w:jc w:val="center"/>
              <w:rPr>
                <w:rFonts w:hint="eastAsia"/>
                <w:sz w:val="18"/>
                <w:szCs w:val="18"/>
              </w:rPr>
            </w:pPr>
          </w:p>
        </w:tc>
        <w:tc>
          <w:tcPr>
            <w:tcW w:w="998" w:type="dxa"/>
          </w:tcPr>
          <w:p>
            <w:pPr>
              <w:spacing w:line="240" w:lineRule="atLeast"/>
              <w:jc w:val="center"/>
              <w:rPr>
                <w:rFonts w:hint="eastAsia"/>
                <w:sz w:val="18"/>
                <w:szCs w:val="18"/>
              </w:rPr>
            </w:pPr>
          </w:p>
        </w:tc>
        <w:tc>
          <w:tcPr>
            <w:tcW w:w="1702" w:type="dxa"/>
          </w:tcPr>
          <w:p>
            <w:pPr>
              <w:spacing w:line="240" w:lineRule="atLeast"/>
              <w:jc w:val="center"/>
              <w:rPr>
                <w:rFonts w:hint="eastAsia"/>
                <w:sz w:val="18"/>
                <w:szCs w:val="18"/>
              </w:rPr>
            </w:pPr>
          </w:p>
        </w:tc>
        <w:tc>
          <w:tcPr>
            <w:tcW w:w="1283" w:type="dxa"/>
          </w:tcPr>
          <w:p>
            <w:pPr>
              <w:spacing w:line="240" w:lineRule="atLeast"/>
              <w:jc w:val="center"/>
              <w:rPr>
                <w:rFonts w:hint="eastAsia"/>
                <w:sz w:val="18"/>
                <w:szCs w:val="18"/>
              </w:rPr>
            </w:pPr>
          </w:p>
        </w:tc>
        <w:tc>
          <w:tcPr>
            <w:tcW w:w="765" w:type="dxa"/>
          </w:tcPr>
          <w:p>
            <w:pPr>
              <w:spacing w:line="240" w:lineRule="atLeast"/>
              <w:jc w:val="center"/>
              <w:rPr>
                <w:rFonts w:hint="eastAsia" w:eastAsiaTheme="minorEastAsia"/>
                <w:sz w:val="18"/>
                <w:szCs w:val="18"/>
                <w:lang w:eastAsia="zh-CN"/>
              </w:rPr>
            </w:pPr>
            <w:r>
              <w:rPr>
                <w:rFonts w:hint="eastAsia"/>
                <w:sz w:val="18"/>
                <w:szCs w:val="18"/>
                <w:lang w:eastAsia="zh-CN"/>
              </w:rPr>
              <w:t>合计</w:t>
            </w:r>
          </w:p>
        </w:tc>
        <w:tc>
          <w:tcPr>
            <w:tcW w:w="1230" w:type="dxa"/>
          </w:tcPr>
          <w:p>
            <w:pPr>
              <w:spacing w:line="240" w:lineRule="atLeast"/>
              <w:jc w:val="center"/>
              <w:rPr>
                <w:rFonts w:hint="eastAsia" w:eastAsiaTheme="minorEastAsia"/>
                <w:sz w:val="18"/>
                <w:szCs w:val="18"/>
                <w:lang w:val="en-US" w:eastAsia="zh-CN"/>
              </w:rPr>
            </w:pPr>
            <w:r>
              <w:rPr>
                <w:rFonts w:hint="eastAsia" w:ascii="宋体" w:hAnsi="宋体" w:cs="宋体"/>
                <w:bCs/>
                <w:kern w:val="36"/>
                <w:sz w:val="18"/>
                <w:szCs w:val="18"/>
                <w:lang w:val="en-US" w:eastAsia="zh-CN"/>
              </w:rPr>
              <w:t>29700</w:t>
            </w:r>
          </w:p>
        </w:tc>
        <w:tc>
          <w:tcPr>
            <w:tcW w:w="975" w:type="dxa"/>
          </w:tcPr>
          <w:p>
            <w:pPr>
              <w:spacing w:line="240" w:lineRule="atLeast"/>
              <w:jc w:val="center"/>
              <w:rPr>
                <w:rFonts w:hint="eastAsia"/>
                <w:sz w:val="18"/>
                <w:szCs w:val="18"/>
              </w:rPr>
            </w:pPr>
          </w:p>
        </w:tc>
      </w:tr>
    </w:tbl>
    <w:p>
      <w:pPr>
        <w:adjustRightInd w:val="0"/>
        <w:snapToGrid w:val="0"/>
        <w:spacing w:line="300" w:lineRule="auto"/>
        <w:jc w:val="center"/>
        <w:outlineLvl w:val="0"/>
        <w:rPr>
          <w:rFonts w:hint="eastAsia"/>
          <w:b/>
          <w:bCs/>
          <w:color w:val="auto"/>
          <w:sz w:val="18"/>
          <w:szCs w:val="18"/>
        </w:rPr>
      </w:pPr>
    </w:p>
    <w:p>
      <w:pPr>
        <w:widowControl/>
        <w:spacing w:before="180" w:line="345" w:lineRule="atLeast"/>
        <w:ind w:firstLine="1084" w:firstLineChars="600"/>
        <w:jc w:val="left"/>
        <w:rPr>
          <w:rFonts w:hint="eastAsia" w:ascii="宋体" w:hAnsi="宋体" w:eastAsia="宋体" w:cs="宋体"/>
          <w:b/>
          <w:bCs/>
          <w:color w:val="444444"/>
          <w:kern w:val="0"/>
          <w:sz w:val="18"/>
          <w:szCs w:val="18"/>
          <w:lang w:eastAsia="zh-CN"/>
        </w:rPr>
      </w:pPr>
      <w:r>
        <w:rPr>
          <w:rFonts w:hint="eastAsia" w:ascii="宋体" w:hAnsi="宋体" w:eastAsia="宋体" w:cs="宋体"/>
          <w:b/>
          <w:bCs/>
          <w:color w:val="444444"/>
          <w:kern w:val="0"/>
          <w:sz w:val="18"/>
          <w:szCs w:val="18"/>
          <w:lang w:eastAsia="zh-CN"/>
        </w:rPr>
        <w:t>备注：《报价一览表》填写须知</w:t>
      </w:r>
    </w:p>
    <w:p>
      <w:pPr>
        <w:widowControl/>
        <w:spacing w:before="180" w:line="345" w:lineRule="atLeast"/>
        <w:ind w:firstLine="1131" w:firstLineChars="626"/>
        <w:jc w:val="left"/>
        <w:rPr>
          <w:rFonts w:hint="eastAsia" w:ascii="宋体" w:hAnsi="宋体" w:eastAsia="宋体" w:cs="宋体"/>
          <w:b/>
          <w:bCs/>
          <w:color w:val="444444"/>
          <w:kern w:val="0"/>
          <w:sz w:val="18"/>
          <w:szCs w:val="18"/>
          <w:lang w:eastAsia="zh-CN"/>
        </w:rPr>
      </w:pPr>
      <w:r>
        <w:rPr>
          <w:rFonts w:hint="eastAsia" w:ascii="宋体" w:hAnsi="宋体" w:eastAsia="宋体" w:cs="宋体"/>
          <w:b/>
          <w:bCs/>
          <w:color w:val="444444"/>
          <w:kern w:val="0"/>
          <w:sz w:val="18"/>
          <w:szCs w:val="18"/>
          <w:lang w:val="en-US" w:eastAsia="zh-CN"/>
        </w:rPr>
        <w:t>1.</w:t>
      </w:r>
      <w:r>
        <w:rPr>
          <w:rFonts w:hint="eastAsia" w:ascii="宋体" w:hAnsi="宋体" w:eastAsia="宋体" w:cs="宋体"/>
          <w:b/>
          <w:bCs/>
          <w:color w:val="444444"/>
          <w:kern w:val="0"/>
          <w:sz w:val="18"/>
          <w:szCs w:val="18"/>
          <w:lang w:eastAsia="zh-CN"/>
        </w:rPr>
        <w:t>《报价一览</w:t>
      </w:r>
      <w:bookmarkStart w:id="1" w:name="_GoBack"/>
      <w:bookmarkEnd w:id="1"/>
      <w:r>
        <w:rPr>
          <w:rFonts w:hint="eastAsia" w:ascii="宋体" w:hAnsi="宋体" w:eastAsia="宋体" w:cs="宋体"/>
          <w:b/>
          <w:bCs/>
          <w:color w:val="444444"/>
          <w:kern w:val="0"/>
          <w:sz w:val="18"/>
          <w:szCs w:val="18"/>
          <w:lang w:eastAsia="zh-CN"/>
        </w:rPr>
        <w:t>表》每一页均需加盖单位盖章。</w:t>
      </w:r>
    </w:p>
    <w:p>
      <w:pPr>
        <w:widowControl/>
        <w:spacing w:before="180" w:line="345" w:lineRule="atLeast"/>
        <w:ind w:firstLine="480"/>
        <w:jc w:val="left"/>
        <w:rPr>
          <w:rFonts w:hint="eastAsia" w:ascii="宋体" w:hAnsi="宋体" w:eastAsia="宋体" w:cs="宋体"/>
          <w:b/>
          <w:bCs/>
          <w:color w:val="444444"/>
          <w:kern w:val="0"/>
          <w:sz w:val="18"/>
          <w:szCs w:val="18"/>
          <w:lang w:eastAsia="zh-CN"/>
        </w:rPr>
      </w:pPr>
      <w:r>
        <w:rPr>
          <w:rFonts w:hint="eastAsia" w:ascii="宋体" w:hAnsi="宋体" w:eastAsia="宋体" w:cs="宋体"/>
          <w:b/>
          <w:bCs/>
          <w:color w:val="444444"/>
          <w:kern w:val="0"/>
          <w:sz w:val="18"/>
          <w:szCs w:val="18"/>
          <w:lang w:val="en-US" w:eastAsia="zh-CN"/>
        </w:rPr>
        <w:t xml:space="preserve">        2.</w:t>
      </w:r>
      <w:r>
        <w:rPr>
          <w:rFonts w:hint="eastAsia" w:ascii="宋体" w:hAnsi="宋体" w:eastAsia="宋体" w:cs="宋体"/>
          <w:b/>
          <w:bCs/>
          <w:color w:val="444444"/>
          <w:kern w:val="0"/>
          <w:sz w:val="18"/>
          <w:szCs w:val="18"/>
          <w:lang w:eastAsia="zh-CN"/>
        </w:rPr>
        <w:t>《报价一览表》的报价为最终报价，不允许二次报价或对报价进行修改，询价项目中非设备类的可不填写品牌及型号。</w:t>
      </w:r>
    </w:p>
    <w:p>
      <w:pPr>
        <w:widowControl/>
        <w:spacing w:before="180" w:line="345" w:lineRule="atLeast"/>
        <w:ind w:firstLine="480"/>
        <w:jc w:val="left"/>
        <w:rPr>
          <w:rFonts w:hint="eastAsia" w:ascii="宋体" w:hAnsi="宋体" w:eastAsia="宋体" w:cs="宋体"/>
          <w:b/>
          <w:bCs/>
          <w:color w:val="444444"/>
          <w:kern w:val="0"/>
          <w:sz w:val="18"/>
          <w:szCs w:val="18"/>
          <w:lang w:eastAsia="zh-CN"/>
        </w:rPr>
      </w:pPr>
      <w:r>
        <w:rPr>
          <w:rFonts w:hint="eastAsia" w:ascii="宋体" w:hAnsi="宋体" w:eastAsia="宋体" w:cs="宋体"/>
          <w:b/>
          <w:bCs/>
          <w:color w:val="444444"/>
          <w:kern w:val="0"/>
          <w:sz w:val="18"/>
          <w:szCs w:val="18"/>
          <w:lang w:val="en-US" w:eastAsia="zh-CN"/>
        </w:rPr>
        <w:t xml:space="preserve">        3.《报价一览表》中各项报价不得高于预算金额，报价高于预算金额的均视为无效投标。</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szCs w:val="21"/>
        </w:rPr>
      </w:pPr>
    </w:p>
    <w:sectPr>
      <w:pgSz w:w="16838" w:h="11906" w:orient="landscape"/>
      <w:pgMar w:top="760" w:right="1440" w:bottom="42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roma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Segoe UI Symbol">
    <w:altName w:val="Segoe UI"/>
    <w:panose1 w:val="020B0502040204020203"/>
    <w:charset w:val="00"/>
    <w:family w:val="swiss"/>
    <w:pitch w:val="default"/>
    <w:sig w:usb0="00000000" w:usb1="00000000" w:usb2="00040000" w:usb3="00000000" w:csb0="00000001" w:csb1="00000000"/>
  </w:font>
  <w:font w:name="Segoe UI">
    <w:panose1 w:val="020B0502040204020203"/>
    <w:charset w:val="00"/>
    <w:family w:val="auto"/>
    <w:pitch w:val="default"/>
    <w:sig w:usb0="E00022FF" w:usb1="C000205B" w:usb2="00000009" w:usb3="00000000" w:csb0="200001DF" w:csb1="20080000"/>
  </w:font>
  <w:font w:name="Verdana">
    <w:panose1 w:val="020B0604030504040204"/>
    <w:charset w:val="00"/>
    <w:family w:val="swiss"/>
    <w:pitch w:val="default"/>
    <w:sig w:usb0="00000287"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2043FCF"/>
    <w:rsid w:val="024E258E"/>
    <w:rsid w:val="03837B83"/>
    <w:rsid w:val="03BE128D"/>
    <w:rsid w:val="0441293F"/>
    <w:rsid w:val="048A3EFA"/>
    <w:rsid w:val="08EB10DD"/>
    <w:rsid w:val="0BF875A1"/>
    <w:rsid w:val="0C3A749E"/>
    <w:rsid w:val="0C4C7F8B"/>
    <w:rsid w:val="0FF06B03"/>
    <w:rsid w:val="112C7FDD"/>
    <w:rsid w:val="11A46471"/>
    <w:rsid w:val="15583548"/>
    <w:rsid w:val="166A47DF"/>
    <w:rsid w:val="16AD613F"/>
    <w:rsid w:val="180145C5"/>
    <w:rsid w:val="19F33F76"/>
    <w:rsid w:val="1A347C37"/>
    <w:rsid w:val="1AAA14CE"/>
    <w:rsid w:val="1B480A11"/>
    <w:rsid w:val="1D293B6D"/>
    <w:rsid w:val="1E161604"/>
    <w:rsid w:val="1EC9096B"/>
    <w:rsid w:val="212360FB"/>
    <w:rsid w:val="21F541B0"/>
    <w:rsid w:val="244C6003"/>
    <w:rsid w:val="26C5483E"/>
    <w:rsid w:val="277213F8"/>
    <w:rsid w:val="28431CBF"/>
    <w:rsid w:val="288621D9"/>
    <w:rsid w:val="29B328FB"/>
    <w:rsid w:val="2A1A16EB"/>
    <w:rsid w:val="2BFB4FB8"/>
    <w:rsid w:val="2C0815D1"/>
    <w:rsid w:val="31F82ADC"/>
    <w:rsid w:val="343A30A6"/>
    <w:rsid w:val="34FB094B"/>
    <w:rsid w:val="38274C0F"/>
    <w:rsid w:val="38393E34"/>
    <w:rsid w:val="3B822710"/>
    <w:rsid w:val="3BE54BE9"/>
    <w:rsid w:val="3DD36A73"/>
    <w:rsid w:val="3E134C87"/>
    <w:rsid w:val="3E6F1FA6"/>
    <w:rsid w:val="3F252173"/>
    <w:rsid w:val="4500717D"/>
    <w:rsid w:val="462B6795"/>
    <w:rsid w:val="46EF0183"/>
    <w:rsid w:val="48D5715C"/>
    <w:rsid w:val="48F17334"/>
    <w:rsid w:val="494C0D39"/>
    <w:rsid w:val="4A2C00BC"/>
    <w:rsid w:val="4BC8308A"/>
    <w:rsid w:val="4BEF7875"/>
    <w:rsid w:val="4DB37839"/>
    <w:rsid w:val="4FC56086"/>
    <w:rsid w:val="50577F6E"/>
    <w:rsid w:val="51C57A23"/>
    <w:rsid w:val="535C288C"/>
    <w:rsid w:val="53BF7E2B"/>
    <w:rsid w:val="54C34438"/>
    <w:rsid w:val="55111B2A"/>
    <w:rsid w:val="55194A10"/>
    <w:rsid w:val="560E6E69"/>
    <w:rsid w:val="56756547"/>
    <w:rsid w:val="587777E3"/>
    <w:rsid w:val="5C5315AD"/>
    <w:rsid w:val="5D496B43"/>
    <w:rsid w:val="62CD0F8D"/>
    <w:rsid w:val="63B32525"/>
    <w:rsid w:val="63D42D01"/>
    <w:rsid w:val="6706137C"/>
    <w:rsid w:val="6983772C"/>
    <w:rsid w:val="69E927C6"/>
    <w:rsid w:val="6CB42952"/>
    <w:rsid w:val="6D191EB7"/>
    <w:rsid w:val="71BB4F85"/>
    <w:rsid w:val="72D37BE8"/>
    <w:rsid w:val="730F411E"/>
    <w:rsid w:val="75514BEB"/>
    <w:rsid w:val="79C23829"/>
    <w:rsid w:val="7B9D047B"/>
    <w:rsid w:val="7C0D0110"/>
    <w:rsid w:val="7DD80B3F"/>
    <w:rsid w:val="7E32377D"/>
    <w:rsid w:val="7E972638"/>
    <w:rsid w:val="7EBD29D4"/>
    <w:rsid w:val="7EF226E7"/>
    <w:rsid w:val="7EFB4FD8"/>
    <w:rsid w:val="7F3D4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FollowedHyperlink"/>
    <w:basedOn w:val="6"/>
    <w:unhideWhenUsed/>
    <w:uiPriority w:val="99"/>
    <w:rPr>
      <w:color w:val="000000"/>
      <w:u w:val="none"/>
    </w:rPr>
  </w:style>
  <w:style w:type="character" w:styleId="8">
    <w:name w:val="Hyperlink"/>
    <w:basedOn w:val="6"/>
    <w:unhideWhenUsed/>
    <w:uiPriority w:val="99"/>
    <w:rPr>
      <w:color w:val="000000"/>
      <w:u w:val="none"/>
    </w:rPr>
  </w:style>
  <w:style w:type="character" w:customStyle="1" w:styleId="10">
    <w:name w:val="页眉 Char"/>
    <w:basedOn w:val="6"/>
    <w:link w:val="3"/>
    <w:qFormat/>
    <w:uiPriority w:val="99"/>
    <w:rPr>
      <w:sz w:val="18"/>
      <w:szCs w:val="18"/>
    </w:rPr>
  </w:style>
  <w:style w:type="character" w:customStyle="1" w:styleId="11">
    <w:name w:val="页脚 Char"/>
    <w:basedOn w:val="6"/>
    <w:link w:val="2"/>
    <w:qFormat/>
    <w:uiPriority w:val="99"/>
    <w:rPr>
      <w:sz w:val="18"/>
      <w:szCs w:val="18"/>
    </w:rPr>
  </w:style>
  <w:style w:type="paragraph" w:customStyle="1" w:styleId="12">
    <w:name w:val="List Paragraph"/>
    <w:basedOn w:val="1"/>
    <w:qFormat/>
    <w:uiPriority w:val="34"/>
    <w:pPr>
      <w:ind w:firstLine="420" w:firstLineChars="200"/>
    </w:pPr>
  </w:style>
  <w:style w:type="paragraph" w:customStyle="1" w:styleId="13">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ScaleCrop>false</ScaleCrop>
  <LinksUpToDate>false</LinksUpToDate>
  <CharactersWithSpaces>2869</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fjwsxy</cp:lastModifiedBy>
  <dcterms:modified xsi:type="dcterms:W3CDTF">2017-09-12T02:28:50Z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